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A24DA" w14:textId="77777777" w:rsidR="007D52BC" w:rsidRPr="00445C89" w:rsidRDefault="007D52BC" w:rsidP="007D52BC">
      <w:pPr>
        <w:pStyle w:val="TTPTitle"/>
        <w:rPr>
          <w:rFonts w:ascii="Times New Roman" w:eastAsia="산돌향기 L" w:hAnsi="Times New Roman" w:cs="Times New Roman"/>
          <w:spacing w:val="-10"/>
        </w:rPr>
      </w:pPr>
      <w:r w:rsidRPr="00445C89">
        <w:rPr>
          <w:rFonts w:ascii="Times New Roman" w:eastAsia="산돌향기 L" w:hAnsi="Times New Roman" w:cs="Times New Roman"/>
          <w:spacing w:val="-10"/>
        </w:rPr>
        <w:t xml:space="preserve">Strategies for SMEs based on a PEST-SWOT-AHP Analysis in Response to the Introduction of the Product Liability Law </w:t>
      </w:r>
    </w:p>
    <w:p w14:paraId="077A24DB" w14:textId="77777777" w:rsidR="004B3A8F" w:rsidRPr="00C37870" w:rsidRDefault="00D80BBE">
      <w:pPr>
        <w:pStyle w:val="TTPAuthors"/>
        <w:rPr>
          <w:rFonts w:ascii="Times New Roman" w:hAnsi="Times New Roman" w:cs="Times New Roman"/>
        </w:rPr>
      </w:pPr>
      <w:r w:rsidRPr="00C37870">
        <w:rPr>
          <w:rFonts w:ascii="Times New Roman" w:hAnsi="Times New Roman" w:cs="Times New Roman"/>
        </w:rPr>
        <w:t>JunHyeok</w:t>
      </w:r>
      <w:r w:rsidRPr="00C37870">
        <w:rPr>
          <w:rFonts w:ascii="Times New Roman" w:eastAsia="바탕체" w:hAnsi="Times New Roman" w:cs="Times New Roman"/>
          <w:lang w:eastAsia="ko-KR"/>
        </w:rPr>
        <w:t xml:space="preserve"> </w:t>
      </w:r>
      <w:r w:rsidRPr="00C37870">
        <w:rPr>
          <w:rFonts w:ascii="Times New Roman" w:hAnsi="Times New Roman" w:cs="Times New Roman"/>
        </w:rPr>
        <w:t>Seo</w:t>
      </w:r>
      <w:r w:rsidR="004B3A8F" w:rsidRPr="00C37870">
        <w:rPr>
          <w:rFonts w:ascii="Times New Roman" w:hAnsi="Times New Roman" w:cs="Times New Roman"/>
          <w:vertAlign w:val="superscript"/>
        </w:rPr>
        <w:t>1, a</w:t>
      </w:r>
      <w:r w:rsidR="004B3A8F" w:rsidRPr="00C37870">
        <w:rPr>
          <w:rFonts w:ascii="Times New Roman" w:hAnsi="Times New Roman" w:cs="Times New Roman"/>
          <w:b/>
          <w:bCs/>
        </w:rPr>
        <w:t>,</w:t>
      </w:r>
      <w:r w:rsidR="004B3A8F" w:rsidRPr="00C37870">
        <w:rPr>
          <w:rFonts w:ascii="Times New Roman" w:hAnsi="Times New Roman" w:cs="Times New Roman"/>
        </w:rPr>
        <w:t xml:space="preserve"> </w:t>
      </w:r>
      <w:r w:rsidRPr="00C37870">
        <w:rPr>
          <w:rFonts w:ascii="Times New Roman" w:hAnsi="Times New Roman" w:cs="Times New Roman"/>
        </w:rPr>
        <w:t>BokSoo Ko</w:t>
      </w:r>
      <w:r w:rsidR="004B3A8F" w:rsidRPr="00C37870">
        <w:rPr>
          <w:rFonts w:ascii="Times New Roman" w:hAnsi="Times New Roman" w:cs="Times New Roman"/>
          <w:vertAlign w:val="superscript"/>
        </w:rPr>
        <w:t xml:space="preserve">2,b </w:t>
      </w:r>
      <w:r w:rsidR="004B3A8F" w:rsidRPr="00C37870">
        <w:rPr>
          <w:rFonts w:ascii="Times New Roman" w:hAnsi="Times New Roman" w:cs="Times New Roman"/>
        </w:rPr>
        <w:t xml:space="preserve">and </w:t>
      </w:r>
      <w:r w:rsidRPr="00C37870">
        <w:rPr>
          <w:rFonts w:ascii="Times New Roman" w:hAnsi="Times New Roman" w:cs="Times New Roman"/>
        </w:rPr>
        <w:t>SungMin Bae</w:t>
      </w:r>
      <w:r w:rsidR="004B3A8F" w:rsidRPr="00C37870">
        <w:rPr>
          <w:rFonts w:ascii="Times New Roman" w:hAnsi="Times New Roman" w:cs="Times New Roman"/>
          <w:vertAlign w:val="superscript"/>
        </w:rPr>
        <w:t xml:space="preserve">3,c </w:t>
      </w:r>
    </w:p>
    <w:p w14:paraId="077A24DC" w14:textId="77777777" w:rsidR="00D80BBE" w:rsidRPr="00C37870" w:rsidRDefault="004B3A8F">
      <w:pPr>
        <w:pStyle w:val="TTPAddress"/>
        <w:rPr>
          <w:rFonts w:ascii="Times New Roman" w:hAnsi="Times New Roman" w:cs="Times New Roman"/>
        </w:rPr>
      </w:pPr>
      <w:r w:rsidRPr="00C37870">
        <w:rPr>
          <w:rFonts w:ascii="Times New Roman" w:hAnsi="Times New Roman" w:cs="Times New Roman"/>
          <w:vertAlign w:val="superscript"/>
        </w:rPr>
        <w:t>1</w:t>
      </w:r>
      <w:r w:rsidR="00D80BBE" w:rsidRPr="00C37870">
        <w:rPr>
          <w:rFonts w:ascii="Times New Roman" w:hAnsi="Times New Roman" w:cs="Times New Roman"/>
          <w:vertAlign w:val="superscript"/>
        </w:rPr>
        <w:t xml:space="preserve">, 2, 3 </w:t>
      </w:r>
      <w:r w:rsidR="00D80BBE" w:rsidRPr="00C37870">
        <w:rPr>
          <w:rFonts w:ascii="Times New Roman" w:hAnsi="Times New Roman" w:cs="Times New Roman"/>
        </w:rPr>
        <w:t>Dept. of Industrial &amp; Management Engineering, Hanbat National University, Daejeon, Korea,</w:t>
      </w:r>
    </w:p>
    <w:p w14:paraId="077A24DD" w14:textId="77777777" w:rsidR="004B3A8F" w:rsidRPr="00DD4E1D" w:rsidRDefault="004B3A8F">
      <w:pPr>
        <w:pStyle w:val="TTPAddress"/>
      </w:pPr>
      <w:r w:rsidRPr="00C37870">
        <w:rPr>
          <w:rFonts w:ascii="Times New Roman" w:hAnsi="Times New Roman" w:cs="Times New Roman"/>
          <w:vertAlign w:val="superscript"/>
        </w:rPr>
        <w:t>a</w:t>
      </w:r>
      <w:r w:rsidR="00D80BBE" w:rsidRPr="00C37870">
        <w:rPr>
          <w:rFonts w:ascii="Times New Roman" w:hAnsi="Times New Roman" w:cs="Times New Roman"/>
        </w:rPr>
        <w:t>co903@hanbat.ac.kr</w:t>
      </w:r>
      <w:r w:rsidRPr="00C37870">
        <w:rPr>
          <w:rFonts w:ascii="Times New Roman" w:hAnsi="Times New Roman" w:cs="Times New Roman"/>
        </w:rPr>
        <w:t xml:space="preserve">, </w:t>
      </w:r>
      <w:r w:rsidRPr="00C37870">
        <w:rPr>
          <w:rFonts w:ascii="Times New Roman" w:hAnsi="Times New Roman" w:cs="Times New Roman"/>
          <w:vertAlign w:val="superscript"/>
        </w:rPr>
        <w:t>b</w:t>
      </w:r>
      <w:r w:rsidR="00D80BBE" w:rsidRPr="00C37870">
        <w:rPr>
          <w:rFonts w:ascii="Times New Roman" w:hAnsi="Times New Roman" w:cs="Times New Roman"/>
        </w:rPr>
        <w:t>kobs@hanbat.ac.kr</w:t>
      </w:r>
      <w:r w:rsidRPr="00C37870">
        <w:rPr>
          <w:rFonts w:ascii="Times New Roman" w:hAnsi="Times New Roman" w:cs="Times New Roman"/>
        </w:rPr>
        <w:t xml:space="preserve">, </w:t>
      </w:r>
      <w:r w:rsidRPr="00C37870">
        <w:rPr>
          <w:rFonts w:ascii="Times New Roman" w:hAnsi="Times New Roman" w:cs="Times New Roman"/>
          <w:vertAlign w:val="superscript"/>
        </w:rPr>
        <w:t>c</w:t>
      </w:r>
      <w:r w:rsidR="00D80BBE" w:rsidRPr="00C37870">
        <w:rPr>
          <w:rFonts w:ascii="Times New Roman" w:hAnsi="Times New Roman" w:cs="Times New Roman"/>
        </w:rPr>
        <w:t>loveiris@hanbat.ac.kr</w:t>
      </w:r>
    </w:p>
    <w:p w14:paraId="077A24DF" w14:textId="77777777" w:rsidR="00D64FD0" w:rsidRPr="00D64FD0" w:rsidRDefault="00D64FD0" w:rsidP="00D64FD0">
      <w:pPr>
        <w:pStyle w:val="TTPAbstract"/>
      </w:pPr>
    </w:p>
    <w:p w14:paraId="077A24E0" w14:textId="77777777" w:rsidR="007D52BC" w:rsidRDefault="004B3A8F" w:rsidP="007D52BC">
      <w:pPr>
        <w:pStyle w:val="TTPAbstract"/>
        <w:spacing w:before="0"/>
      </w:pPr>
      <w:r w:rsidRPr="00191D51">
        <w:rPr>
          <w:b/>
          <w:bCs/>
        </w:rPr>
        <w:t>Abstract.</w:t>
      </w:r>
      <w:r w:rsidRPr="00191D51">
        <w:t xml:space="preserve"> </w:t>
      </w:r>
      <w:r w:rsidR="007D52BC" w:rsidRPr="00063869">
        <w:t>To formulate strategies for small and medium-sized manufacturing enterprises (SMEs) in response to the enforcement of the product liability (PL) law, factors that influence the enforcement of the PL law were identified through a political, economic, social, and technological (PEST) analysis. Furthermore, the relative importance was proposed for each area through a strengths, weaknesses, opportunities, and threats – analytic hierarchy process (SWOT-AHP) – analysis of the identified factors. In order to identify the relative importance of each area, a pairwise analysis was conducted through a questionnaire survey targeting experts in businesses related to PL. The results suggest the greater importance of opportunities and strengths than threats and weaknesses, indicating that the enforcement of the PL law would provide SMEs more opportunities than burdens. Through these results the S/O, S/T, W/O, W/T strategies for SMEs, which can be preferentially implemented, were proposed.</w:t>
      </w:r>
    </w:p>
    <w:p w14:paraId="4F1B7A2E" w14:textId="61EA2900" w:rsidR="00C37870" w:rsidRPr="00C37870" w:rsidRDefault="00C37870" w:rsidP="00C37870">
      <w:pPr>
        <w:pStyle w:val="TTPSectionHeading"/>
      </w:pPr>
      <w:r w:rsidRPr="00C37870">
        <w:t xml:space="preserve">Keywords: </w:t>
      </w:r>
      <w:r w:rsidRPr="00C37870">
        <w:rPr>
          <w:b w:val="0"/>
        </w:rPr>
        <w:t>P</w:t>
      </w:r>
      <w:bookmarkStart w:id="0" w:name="_GoBack"/>
      <w:bookmarkEnd w:id="0"/>
      <w:r w:rsidRPr="00C37870">
        <w:rPr>
          <w:b w:val="0"/>
        </w:rPr>
        <w:t>roduct Liability (PL), Confrontation Strategy, PEST (Political, Economic, Social, and Technological) Analysis, SWOT, AHP (Analytic Hierarchy Process)</w:t>
      </w:r>
    </w:p>
    <w:p w14:paraId="077A24E1" w14:textId="77777777" w:rsidR="004B3A8F" w:rsidRPr="00C37870" w:rsidRDefault="004B3A8F">
      <w:pPr>
        <w:pStyle w:val="TTPSectionHeading"/>
      </w:pPr>
      <w:r w:rsidRPr="00C37870">
        <w:t>Introduction</w:t>
      </w:r>
    </w:p>
    <w:p w14:paraId="077A24E5" w14:textId="6F2900CC" w:rsidR="007D52BC" w:rsidRPr="00DD4E1D" w:rsidRDefault="007D52BC" w:rsidP="00C37870">
      <w:pPr>
        <w:pStyle w:val="TTPParagraphothers"/>
      </w:pPr>
      <w:r w:rsidRPr="007D52BC">
        <w:t xml:space="preserve">The product liability (PL) law, which began enforcement in 2002, has imposed obligations on manufacturers to compensate for damages caused to a victim’s body and property due to defective products. Through this PL law, the government aims to contribute to the safety improvement of people's lives and healthy development of the national economy. In other words, by emphasizing the protection of the rights and interests of the consumers who use the products, PL becomes a system for increasing damage compensation available to consumers who are victims of defective products rather than a system for just helping manufacturers or </w:t>
      </w:r>
      <w:r w:rsidR="001967AB" w:rsidRPr="007D52BC">
        <w:t>dealers</w:t>
      </w:r>
      <w:r w:rsidR="001967AB">
        <w:t xml:space="preserve"> [</w:t>
      </w:r>
      <w:r w:rsidR="00BD159A">
        <w:t>2]</w:t>
      </w:r>
      <w:r w:rsidRPr="007D52BC">
        <w:t>.</w:t>
      </w:r>
    </w:p>
    <w:p w14:paraId="077A24E6" w14:textId="77777777" w:rsidR="007D52BC" w:rsidRPr="007D52BC" w:rsidRDefault="007D52BC" w:rsidP="007D52BC">
      <w:pPr>
        <w:pStyle w:val="TTPSectionHeading"/>
      </w:pPr>
      <w:r w:rsidRPr="00063869">
        <w:t>PL study status domestically and overseas</w:t>
      </w:r>
    </w:p>
    <w:p w14:paraId="077A24E7" w14:textId="77777777" w:rsidR="007D52BC" w:rsidRPr="007D52BC" w:rsidRDefault="007D52BC" w:rsidP="007D52BC">
      <w:pPr>
        <w:pStyle w:val="TTPParagraphothers"/>
      </w:pPr>
      <w:r w:rsidRPr="007D52BC">
        <w:t>The main domestic and international study areas related to PL law include studies on the current status of responses to the law and measures taken by firms, the PL awareness of constituent members and consumers, prevention strategies, and damage case analyses.</w:t>
      </w:r>
    </w:p>
    <w:p w14:paraId="077A24E8" w14:textId="77777777" w:rsidR="007D52BC" w:rsidRPr="007D52BC" w:rsidRDefault="007D52BC" w:rsidP="00C37870">
      <w:pPr>
        <w:pStyle w:val="TTPParagraphothers"/>
        <w:ind w:firstLine="0"/>
      </w:pPr>
      <w:r w:rsidRPr="007D52BC">
        <w:t>The study methodologies related to PL were mainly surveys done through questionnaires. However, in recent years, various analysis techniques such as fuzzy logic, AHP, etc., are being used increasingly in deriving conclusions through case analysis, literature study, etc. As mentioned earlier, studies on the response measures taken by firms in relation to the PL law, and improvement of the measures of PL law have been actively conducted. However, there is a lack of studies that provide results applicable to SMEs by analyzing the effects of PL law enforcement on them from various viewpoints to evaluate the relative importance among the affecting factors.</w:t>
      </w:r>
    </w:p>
    <w:p w14:paraId="077A24FF" w14:textId="2DB5AA4E" w:rsidR="007D52BC" w:rsidRDefault="007D52BC" w:rsidP="007D52BC">
      <w:pPr>
        <w:pStyle w:val="TTPParagraphothers"/>
      </w:pPr>
    </w:p>
    <w:p w14:paraId="077A2500" w14:textId="77777777" w:rsidR="007D52BC" w:rsidRPr="0075225B" w:rsidRDefault="007D52BC" w:rsidP="007D52BC">
      <w:pPr>
        <w:pStyle w:val="TTPSectionHeading"/>
      </w:pPr>
      <w:r w:rsidRPr="0075225B">
        <w:t>Study results</w:t>
      </w:r>
    </w:p>
    <w:p w14:paraId="077A2501" w14:textId="77777777" w:rsidR="007D52BC" w:rsidRPr="007D52BC" w:rsidRDefault="0075225B" w:rsidP="007D52BC">
      <w:pPr>
        <w:pStyle w:val="TTPParagraphothers"/>
      </w:pPr>
      <w:r w:rsidRPr="0075225B">
        <w:rPr>
          <w:b/>
          <w:bCs/>
        </w:rPr>
        <w:t>Pairwise comparison of PEST-SWOT group.</w:t>
      </w:r>
      <w:r>
        <w:t xml:space="preserve"> </w:t>
      </w:r>
      <w:r w:rsidR="007D52BC" w:rsidRPr="007D52BC">
        <w:t xml:space="preserve">The importance and rankings of top factors, and sub-factors within the top factors, were derived by performing a 1:1 pairwise comparison of PEST-SWOT factors, based on the enforcement of PL law. For this purpose, the evaluator's consistent </w:t>
      </w:r>
      <w:r w:rsidR="007D52BC" w:rsidRPr="007D52BC">
        <w:lastRenderedPageBreak/>
        <w:t>response was important, and to ensure this a consistency ratio was used. Consistency measures the logical inconsistencies of the evaluator's judgment; the degree of consistency is said to be consistent if the consiste</w:t>
      </w:r>
      <w:r w:rsidR="00862356">
        <w:t>ncy ratio does not exceed 0.1[6</w:t>
      </w:r>
      <w:r w:rsidR="007D52BC" w:rsidRPr="007D52BC">
        <w:t>].</w:t>
      </w:r>
    </w:p>
    <w:p w14:paraId="077A2502" w14:textId="77777777" w:rsidR="007D52BC" w:rsidRDefault="007D52BC" w:rsidP="00C37870">
      <w:pPr>
        <w:pStyle w:val="TTPParagraphothers"/>
        <w:ind w:firstLine="0"/>
      </w:pPr>
      <w:r w:rsidRPr="007D52BC">
        <w:t xml:space="preserve">Table </w:t>
      </w:r>
      <w:r w:rsidR="00165C7D">
        <w:t>1</w:t>
      </w:r>
      <w:r w:rsidRPr="007D52BC">
        <w:t xml:space="preserve"> shows the results of the relative importance of PEST-SWOT factors. The importance of each PEST-SWOT factor was as follows: opportunities: 0.383; strengths: 0.328; threats: 0.161; and weaknesses: 0.128. The results imply that the enforcement of PL law does not result in weakening or threating effects on SMEs, which are exposed to a harsh environment; rather, the PL law offers strengths and opportunities for SMEs.</w:t>
      </w:r>
    </w:p>
    <w:p w14:paraId="077A2503" w14:textId="77777777" w:rsidR="00165C7D" w:rsidRDefault="00165C7D" w:rsidP="007D52BC">
      <w:pPr>
        <w:pStyle w:val="TTPParagraphothers"/>
      </w:pPr>
    </w:p>
    <w:p w14:paraId="077A2504" w14:textId="77777777" w:rsidR="00165C7D" w:rsidRPr="00165C7D" w:rsidRDefault="00165C7D" w:rsidP="00165C7D">
      <w:pPr>
        <w:pStyle w:val="TTPParagraphothers"/>
        <w:jc w:val="center"/>
      </w:pPr>
      <w:r w:rsidRPr="00165C7D">
        <w:t xml:space="preserve">Table </w:t>
      </w:r>
      <w:r w:rsidR="00C37870">
        <w:fldChar w:fldCharType="begin"/>
      </w:r>
      <w:r w:rsidR="00C37870">
        <w:instrText xml:space="preserve"> SEQ Table \* ARABIC </w:instrText>
      </w:r>
      <w:r w:rsidR="00C37870">
        <w:fldChar w:fldCharType="separate"/>
      </w:r>
      <w:r w:rsidRPr="00165C7D">
        <w:t>1</w:t>
      </w:r>
      <w:r w:rsidR="00C37870">
        <w:fldChar w:fldCharType="end"/>
      </w:r>
      <w:r>
        <w:t>.</w:t>
      </w:r>
      <w:r w:rsidRPr="00165C7D">
        <w:t xml:space="preserve"> </w:t>
      </w:r>
      <w:r w:rsidRPr="00165C7D">
        <w:rPr>
          <w:rFonts w:hint="eastAsia"/>
        </w:rPr>
        <w:t>Local and Global Weights of PEST-SWOT Group</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98"/>
        <w:gridCol w:w="980"/>
        <w:gridCol w:w="4960"/>
        <w:gridCol w:w="980"/>
        <w:gridCol w:w="943"/>
        <w:gridCol w:w="697"/>
      </w:tblGrid>
      <w:tr w:rsidR="00165C7D" w:rsidRPr="00165C7D" w14:paraId="077A250C" w14:textId="77777777" w:rsidTr="00165C7D">
        <w:trPr>
          <w:trHeight w:val="430"/>
        </w:trPr>
        <w:tc>
          <w:tcPr>
            <w:tcW w:w="998" w:type="dxa"/>
            <w:tcBorders>
              <w:top w:val="single"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14:paraId="077A2505" w14:textId="77777777" w:rsidR="00165C7D" w:rsidRPr="00165C7D" w:rsidRDefault="00165C7D" w:rsidP="00165C7D">
            <w:pPr>
              <w:widowControl w:val="0"/>
              <w:shd w:val="clear" w:color="auto" w:fill="FFFFFF"/>
              <w:spacing w:line="288" w:lineRule="auto"/>
              <w:jc w:val="center"/>
              <w:textAlignment w:val="baseline"/>
              <w:rPr>
                <w:rFonts w:eastAsia="굴림"/>
                <w:color w:val="000000"/>
                <w:lang w:val="en-US" w:eastAsia="ko-KR"/>
              </w:rPr>
            </w:pPr>
            <w:r w:rsidRPr="00165C7D">
              <w:rPr>
                <w:rFonts w:eastAsia="HY태고딕"/>
                <w:color w:val="000000"/>
                <w:spacing w:val="-10"/>
                <w:w w:val="95"/>
                <w:lang w:val="en-US" w:eastAsia="ko-KR"/>
              </w:rPr>
              <w:t>Group</w:t>
            </w:r>
          </w:p>
        </w:tc>
        <w:tc>
          <w:tcPr>
            <w:tcW w:w="980" w:type="dxa"/>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06" w14:textId="77777777" w:rsidR="00165C7D" w:rsidRPr="00165C7D" w:rsidRDefault="00165C7D" w:rsidP="00165C7D">
            <w:pPr>
              <w:widowControl w:val="0"/>
              <w:spacing w:line="288" w:lineRule="auto"/>
              <w:jc w:val="center"/>
              <w:textAlignment w:val="baseline"/>
              <w:rPr>
                <w:rFonts w:eastAsia="굴림"/>
                <w:color w:val="000000"/>
                <w:spacing w:val="-10"/>
                <w:w w:val="95"/>
                <w:lang w:val="en-US" w:eastAsia="ko-KR"/>
              </w:rPr>
            </w:pPr>
            <w:r w:rsidRPr="00165C7D">
              <w:rPr>
                <w:rFonts w:eastAsia="HY태고딕"/>
                <w:color w:val="000000"/>
                <w:spacing w:val="-10"/>
                <w:w w:val="95"/>
                <w:lang w:val="en-US" w:eastAsia="ko-KR"/>
              </w:rPr>
              <w:t xml:space="preserve">Relative weights </w:t>
            </w:r>
          </w:p>
        </w:tc>
        <w:tc>
          <w:tcPr>
            <w:tcW w:w="4960" w:type="dxa"/>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07" w14:textId="77777777" w:rsidR="00165C7D" w:rsidRPr="00165C7D" w:rsidRDefault="00165C7D" w:rsidP="00165C7D">
            <w:pPr>
              <w:widowControl w:val="0"/>
              <w:shd w:val="clear" w:color="auto" w:fill="FFFFFF"/>
              <w:spacing w:line="288" w:lineRule="auto"/>
              <w:jc w:val="center"/>
              <w:textAlignment w:val="baseline"/>
              <w:rPr>
                <w:rFonts w:eastAsia="굴림"/>
                <w:color w:val="000000"/>
                <w:lang w:val="en-US" w:eastAsia="ko-KR"/>
              </w:rPr>
            </w:pPr>
            <w:r w:rsidRPr="00165C7D">
              <w:rPr>
                <w:rFonts w:eastAsia="HY태고딕"/>
                <w:color w:val="000000"/>
                <w:spacing w:val="-10"/>
                <w:w w:val="95"/>
                <w:lang w:val="en-US" w:eastAsia="ko-KR"/>
              </w:rPr>
              <w:t>Sub Group</w:t>
            </w:r>
          </w:p>
        </w:tc>
        <w:tc>
          <w:tcPr>
            <w:tcW w:w="980" w:type="dxa"/>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08" w14:textId="77777777" w:rsidR="00165C7D" w:rsidRPr="00165C7D" w:rsidRDefault="00165C7D" w:rsidP="00165C7D">
            <w:pPr>
              <w:widowControl w:val="0"/>
              <w:spacing w:line="288" w:lineRule="auto"/>
              <w:jc w:val="center"/>
              <w:textAlignment w:val="baseline"/>
              <w:rPr>
                <w:rFonts w:eastAsia="굴림"/>
                <w:color w:val="000000"/>
                <w:spacing w:val="-10"/>
                <w:w w:val="95"/>
                <w:lang w:val="en-US" w:eastAsia="ko-KR"/>
              </w:rPr>
            </w:pPr>
            <w:r w:rsidRPr="00165C7D">
              <w:rPr>
                <w:rFonts w:eastAsia="HY태고딕"/>
                <w:color w:val="000000"/>
                <w:spacing w:val="-10"/>
                <w:w w:val="95"/>
                <w:lang w:val="en-US" w:eastAsia="ko-KR"/>
              </w:rPr>
              <w:t xml:space="preserve">Local </w:t>
            </w:r>
          </w:p>
          <w:p w14:paraId="077A2509" w14:textId="77777777" w:rsidR="00165C7D" w:rsidRPr="00165C7D" w:rsidRDefault="00165C7D" w:rsidP="00165C7D">
            <w:pPr>
              <w:widowControl w:val="0"/>
              <w:spacing w:line="288" w:lineRule="auto"/>
              <w:jc w:val="center"/>
              <w:textAlignment w:val="baseline"/>
              <w:rPr>
                <w:rFonts w:eastAsia="굴림"/>
                <w:color w:val="000000"/>
                <w:spacing w:val="-10"/>
                <w:w w:val="95"/>
                <w:lang w:val="en-US" w:eastAsia="ko-KR"/>
              </w:rPr>
            </w:pPr>
            <w:r w:rsidRPr="00165C7D">
              <w:rPr>
                <w:rFonts w:eastAsia="HY태고딕"/>
                <w:color w:val="000000"/>
                <w:spacing w:val="-10"/>
                <w:w w:val="95"/>
                <w:lang w:val="en-US" w:eastAsia="ko-KR"/>
              </w:rPr>
              <w:t xml:space="preserve">weights </w:t>
            </w:r>
          </w:p>
        </w:tc>
        <w:tc>
          <w:tcPr>
            <w:tcW w:w="943" w:type="dxa"/>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0A" w14:textId="77777777" w:rsidR="00165C7D" w:rsidRPr="00165C7D" w:rsidRDefault="00165C7D" w:rsidP="00165C7D">
            <w:pPr>
              <w:widowControl w:val="0"/>
              <w:spacing w:line="288" w:lineRule="auto"/>
              <w:jc w:val="center"/>
              <w:textAlignment w:val="baseline"/>
              <w:rPr>
                <w:rFonts w:eastAsia="굴림"/>
                <w:color w:val="000000"/>
                <w:spacing w:val="-10"/>
                <w:w w:val="95"/>
                <w:lang w:val="en-US" w:eastAsia="ko-KR"/>
              </w:rPr>
            </w:pPr>
            <w:r w:rsidRPr="00165C7D">
              <w:rPr>
                <w:rFonts w:eastAsia="HY태고딕"/>
                <w:color w:val="000000"/>
                <w:spacing w:val="-10"/>
                <w:w w:val="95"/>
                <w:lang w:val="en-US" w:eastAsia="ko-KR"/>
              </w:rPr>
              <w:t xml:space="preserve">Global weights </w:t>
            </w:r>
          </w:p>
        </w:tc>
        <w:tc>
          <w:tcPr>
            <w:tcW w:w="697" w:type="dxa"/>
            <w:tcBorders>
              <w:top w:val="single" w:sz="12"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0B" w14:textId="77777777" w:rsidR="00165C7D" w:rsidRPr="00165C7D" w:rsidRDefault="00165C7D" w:rsidP="00165C7D">
            <w:pPr>
              <w:widowControl w:val="0"/>
              <w:shd w:val="clear" w:color="auto" w:fill="FFFFFF"/>
              <w:spacing w:line="288" w:lineRule="auto"/>
              <w:jc w:val="center"/>
              <w:textAlignment w:val="baseline"/>
              <w:rPr>
                <w:rFonts w:eastAsia="굴림"/>
                <w:color w:val="000000"/>
                <w:lang w:val="en-US" w:eastAsia="ko-KR"/>
              </w:rPr>
            </w:pPr>
            <w:r w:rsidRPr="00165C7D">
              <w:rPr>
                <w:rFonts w:eastAsia="HY태고딕"/>
                <w:color w:val="000000"/>
                <w:spacing w:val="-10"/>
                <w:w w:val="95"/>
                <w:lang w:val="en-US" w:eastAsia="ko-KR"/>
              </w:rPr>
              <w:t>Rank</w:t>
            </w:r>
          </w:p>
        </w:tc>
      </w:tr>
      <w:tr w:rsidR="00165C7D" w:rsidRPr="00165C7D" w14:paraId="077A2513" w14:textId="77777777" w:rsidTr="00165C7D">
        <w:trPr>
          <w:trHeight w:val="226"/>
        </w:trPr>
        <w:tc>
          <w:tcPr>
            <w:tcW w:w="998" w:type="dxa"/>
            <w:vMerge w:val="restart"/>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14:paraId="077A250D"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Opportunity</w:t>
            </w:r>
          </w:p>
        </w:tc>
        <w:tc>
          <w:tcPr>
            <w:tcW w:w="98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0E"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0.383</w:t>
            </w: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0F"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Supply Safe Products to Consumers(OP)</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10"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0.346</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11"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0.137</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12"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1</w:t>
            </w:r>
          </w:p>
        </w:tc>
      </w:tr>
      <w:tr w:rsidR="00165C7D" w:rsidRPr="00165C7D" w14:paraId="077A251A"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14"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15"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16"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Strengthen Competitiveness of the Corporate(OE)</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17"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0.275</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18"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0.109</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19"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2</w:t>
            </w:r>
          </w:p>
        </w:tc>
      </w:tr>
      <w:tr w:rsidR="00165C7D" w:rsidRPr="00165C7D" w14:paraId="077A2521"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1B"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1C"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1D"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Protect Consumer Rights and Interests(OS)</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1E"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0.202</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1F"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0.080</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20"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5</w:t>
            </w:r>
          </w:p>
        </w:tc>
      </w:tr>
      <w:tr w:rsidR="00165C7D" w:rsidRPr="00165C7D" w14:paraId="077A2528"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22"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23"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24"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Introduce System which aligns with International Standards(OT)</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25"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0.178</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26"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0.071</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27"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6</w:t>
            </w:r>
          </w:p>
        </w:tc>
      </w:tr>
      <w:tr w:rsidR="00165C7D" w:rsidRPr="00165C7D" w14:paraId="077A252F" w14:textId="77777777" w:rsidTr="00165C7D">
        <w:trPr>
          <w:trHeight w:val="226"/>
        </w:trPr>
        <w:tc>
          <w:tcPr>
            <w:tcW w:w="998" w:type="dxa"/>
            <w:vMerge w:val="restart"/>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14:paraId="077A2529"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Strength</w:t>
            </w:r>
          </w:p>
        </w:tc>
        <w:tc>
          <w:tcPr>
            <w:tcW w:w="98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2A"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0.328</w:t>
            </w: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2B"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Corporate Effort Enhancement for Defective Products Reduction(SP)</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2C"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0.367</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2D"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0.118</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2E"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2</w:t>
            </w:r>
          </w:p>
        </w:tc>
      </w:tr>
      <w:tr w:rsidR="00165C7D" w:rsidRPr="00165C7D" w14:paraId="077A2536"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30"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31"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32"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Products Competitiveness Securement(SE)</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33"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0.287</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34"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0.092</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35"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4</w:t>
            </w:r>
          </w:p>
        </w:tc>
      </w:tr>
      <w:tr w:rsidR="00165C7D" w:rsidRPr="00165C7D" w14:paraId="077A253D"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37"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38"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39"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Development of New Industry Associated with Safety(SS)</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3A"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0.170</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3B"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0.055</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3C"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9</w:t>
            </w:r>
          </w:p>
        </w:tc>
      </w:tr>
      <w:tr w:rsidR="00165C7D" w:rsidRPr="00165C7D" w14:paraId="077A2544"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3E"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3F"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0"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Securing Technology for Safety Enhancement(ST)</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1"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0.176</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2"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0.056</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43"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8</w:t>
            </w:r>
          </w:p>
        </w:tc>
      </w:tr>
      <w:tr w:rsidR="00165C7D" w:rsidRPr="00165C7D" w14:paraId="077A254B" w14:textId="77777777" w:rsidTr="00165C7D">
        <w:trPr>
          <w:trHeight w:val="226"/>
        </w:trPr>
        <w:tc>
          <w:tcPr>
            <w:tcW w:w="998" w:type="dxa"/>
            <w:vMerge w:val="restart"/>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14:paraId="077A2545"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Threat</w:t>
            </w:r>
          </w:p>
        </w:tc>
        <w:tc>
          <w:tcPr>
            <w:tcW w:w="98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6"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0.161</w:t>
            </w: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7"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Occurrence of Business activity Inconvenience (TP)</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8"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0.225</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9"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0.037</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4A"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12</w:t>
            </w:r>
          </w:p>
        </w:tc>
      </w:tr>
      <w:tr w:rsidR="00165C7D" w:rsidRPr="00165C7D" w14:paraId="077A2552"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4C"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4D"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E"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Punitive Damages Occurrence(TE)</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4F"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0.269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50"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0.045</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51"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11</w:t>
            </w:r>
          </w:p>
        </w:tc>
      </w:tr>
      <w:tr w:rsidR="00165C7D" w:rsidRPr="00165C7D" w14:paraId="077A2559"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53"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54"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55"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Corporate Image Damage(TS)</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56"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0.346</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57"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0.058</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58"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7</w:t>
            </w:r>
          </w:p>
        </w:tc>
      </w:tr>
      <w:tr w:rsidR="00165C7D" w:rsidRPr="00165C7D" w14:paraId="077A2560" w14:textId="77777777" w:rsidTr="00165C7D">
        <w:trPr>
          <w:trHeight w:val="2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77A255A"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A255B"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5C"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Corporate Technology Development and Innovation Impediment(TT)</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5D"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0.160</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5E"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0.027</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5F"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14</w:t>
            </w:r>
          </w:p>
        </w:tc>
      </w:tr>
      <w:tr w:rsidR="00165C7D" w:rsidRPr="00165C7D" w14:paraId="077A2567" w14:textId="77777777" w:rsidTr="00165C7D">
        <w:trPr>
          <w:trHeight w:val="226"/>
        </w:trPr>
        <w:tc>
          <w:tcPr>
            <w:tcW w:w="998" w:type="dxa"/>
            <w:vMerge w:val="restart"/>
            <w:tcBorders>
              <w:top w:val="single" w:sz="4" w:space="0" w:color="000000"/>
              <w:left w:val="single" w:sz="12" w:space="0" w:color="000000"/>
              <w:bottom w:val="single" w:sz="12" w:space="0" w:color="000000"/>
              <w:right w:val="single" w:sz="4" w:space="0" w:color="000000"/>
            </w:tcBorders>
            <w:tcMar>
              <w:top w:w="0" w:type="dxa"/>
              <w:left w:w="0" w:type="dxa"/>
              <w:bottom w:w="0" w:type="dxa"/>
              <w:right w:w="0" w:type="dxa"/>
            </w:tcMar>
            <w:vAlign w:val="center"/>
            <w:hideMark/>
          </w:tcPr>
          <w:p w14:paraId="077A2561"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Weakness</w:t>
            </w:r>
          </w:p>
        </w:tc>
        <w:tc>
          <w:tcPr>
            <w:tcW w:w="980" w:type="dxa"/>
            <w:vMerge w:val="restar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077A2562"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0.128</w:t>
            </w: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63"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Increased Burden for Safety Enhancement(WP)</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64"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0.401</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65"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0.046</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66"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10</w:t>
            </w:r>
          </w:p>
        </w:tc>
      </w:tr>
      <w:tr w:rsidR="00165C7D" w:rsidRPr="00165C7D" w14:paraId="077A256E" w14:textId="77777777" w:rsidTr="00165C7D">
        <w:trPr>
          <w:trHeight w:val="226"/>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077A2568"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077A2569"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6A"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Increase in Manufacturing Cost(WE)</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6B"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0.306</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6C"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0.035</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6D"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13</w:t>
            </w:r>
          </w:p>
        </w:tc>
      </w:tr>
      <w:tr w:rsidR="00165C7D" w:rsidRPr="00165C7D" w14:paraId="077A2575" w14:textId="77777777" w:rsidTr="00165C7D">
        <w:trPr>
          <w:trHeight w:val="226"/>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077A256F"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077A2570"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71"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Generation of Business Weak in PL(WS)</w:t>
            </w:r>
          </w:p>
        </w:tc>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72"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0.126</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7A2573"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0.014</w:t>
            </w:r>
          </w:p>
        </w:tc>
        <w:tc>
          <w:tcPr>
            <w:tcW w:w="69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hideMark/>
          </w:tcPr>
          <w:p w14:paraId="077A2574"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16</w:t>
            </w:r>
          </w:p>
        </w:tc>
      </w:tr>
      <w:tr w:rsidR="00165C7D" w:rsidRPr="00165C7D" w14:paraId="077A257C" w14:textId="77777777" w:rsidTr="00165C7D">
        <w:trPr>
          <w:trHeight w:val="226"/>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077A2576" w14:textId="77777777" w:rsidR="00165C7D" w:rsidRPr="00165C7D" w:rsidRDefault="00165C7D" w:rsidP="00165C7D">
            <w:pPr>
              <w:autoSpaceDE/>
              <w:autoSpaceDN/>
              <w:rPr>
                <w:rFonts w:eastAsia="굴림"/>
                <w:color w:val="000000"/>
                <w:lang w:val="en-US" w:eastAsia="ko-KR"/>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077A2577" w14:textId="77777777" w:rsidR="00165C7D" w:rsidRPr="00165C7D" w:rsidRDefault="00165C7D" w:rsidP="00165C7D">
            <w:pPr>
              <w:autoSpaceDE/>
              <w:autoSpaceDN/>
              <w:rPr>
                <w:rFonts w:eastAsia="굴림"/>
                <w:color w:val="000000"/>
                <w:lang w:val="en-US" w:eastAsia="ko-KR"/>
              </w:rPr>
            </w:pPr>
          </w:p>
        </w:tc>
        <w:tc>
          <w:tcPr>
            <w:tcW w:w="4960" w:type="dxa"/>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077A2578" w14:textId="77777777" w:rsidR="00165C7D" w:rsidRPr="00165C7D" w:rsidRDefault="00165C7D" w:rsidP="00165C7D">
            <w:pPr>
              <w:widowControl w:val="0"/>
              <w:wordWrap w:val="0"/>
              <w:spacing w:line="312" w:lineRule="auto"/>
              <w:jc w:val="both"/>
              <w:textAlignment w:val="baseline"/>
              <w:rPr>
                <w:rFonts w:eastAsia="굴림"/>
                <w:color w:val="000000"/>
                <w:spacing w:val="-10"/>
                <w:w w:val="95"/>
                <w:lang w:val="en-US" w:eastAsia="ko-KR"/>
              </w:rPr>
            </w:pPr>
            <w:r w:rsidRPr="00165C7D">
              <w:rPr>
                <w:rFonts w:eastAsia="한양신명조"/>
                <w:color w:val="000000"/>
                <w:spacing w:val="-10"/>
                <w:w w:val="95"/>
                <w:lang w:val="en-US" w:eastAsia="ko-KR"/>
              </w:rPr>
              <w:t xml:space="preserve">New Product Development, Production and Sales Shrinkage(WT) </w:t>
            </w:r>
          </w:p>
        </w:tc>
        <w:tc>
          <w:tcPr>
            <w:tcW w:w="980" w:type="dxa"/>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077A2579"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0.167</w:t>
            </w:r>
          </w:p>
        </w:tc>
        <w:tc>
          <w:tcPr>
            <w:tcW w:w="943" w:type="dxa"/>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077A257A"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0.019</w:t>
            </w:r>
          </w:p>
        </w:tc>
        <w:tc>
          <w:tcPr>
            <w:tcW w:w="697" w:type="dxa"/>
            <w:tcBorders>
              <w:top w:val="single" w:sz="4" w:space="0" w:color="000000"/>
              <w:left w:val="single" w:sz="4" w:space="0" w:color="000000"/>
              <w:bottom w:val="single" w:sz="12" w:space="0" w:color="000000"/>
              <w:right w:val="single" w:sz="12" w:space="0" w:color="000000"/>
            </w:tcBorders>
            <w:tcMar>
              <w:top w:w="0" w:type="dxa"/>
              <w:left w:w="0" w:type="dxa"/>
              <w:bottom w:w="0" w:type="dxa"/>
              <w:right w:w="0" w:type="dxa"/>
            </w:tcMar>
            <w:vAlign w:val="center"/>
            <w:hideMark/>
          </w:tcPr>
          <w:p w14:paraId="077A257B" w14:textId="77777777" w:rsidR="00165C7D" w:rsidRPr="00165C7D" w:rsidRDefault="00165C7D" w:rsidP="00165C7D">
            <w:pPr>
              <w:widowControl w:val="0"/>
              <w:shd w:val="clear" w:color="auto" w:fill="FFFFFF"/>
              <w:spacing w:line="312" w:lineRule="auto"/>
              <w:jc w:val="center"/>
              <w:textAlignment w:val="baseline"/>
              <w:rPr>
                <w:rFonts w:eastAsia="굴림"/>
                <w:color w:val="000000"/>
                <w:lang w:val="en-US" w:eastAsia="ko-KR"/>
              </w:rPr>
            </w:pPr>
            <w:r w:rsidRPr="00165C7D">
              <w:rPr>
                <w:rFonts w:eastAsia="한양신명조"/>
                <w:color w:val="000000"/>
                <w:spacing w:val="-10"/>
                <w:w w:val="95"/>
                <w:lang w:val="en-US" w:eastAsia="ko-KR"/>
              </w:rPr>
              <w:t>15</w:t>
            </w:r>
          </w:p>
        </w:tc>
      </w:tr>
    </w:tbl>
    <w:p w14:paraId="077A257D" w14:textId="3F0D1177" w:rsidR="00165C7D" w:rsidRDefault="00165C7D" w:rsidP="00C37870">
      <w:pPr>
        <w:pStyle w:val="TTPParagraphothers"/>
        <w:ind w:firstLine="0"/>
      </w:pPr>
    </w:p>
    <w:p w14:paraId="401AF18C" w14:textId="77777777" w:rsidR="00C37870" w:rsidRPr="00C37870" w:rsidRDefault="00C37870" w:rsidP="00C37870">
      <w:pPr>
        <w:spacing w:before="360" w:after="120"/>
        <w:jc w:val="both"/>
        <w:rPr>
          <w:rFonts w:hint="eastAsia"/>
          <w:b/>
          <w:bCs/>
          <w:sz w:val="24"/>
          <w:szCs w:val="24"/>
          <w:lang w:val="en-US"/>
        </w:rPr>
      </w:pPr>
      <w:r w:rsidRPr="00C37870">
        <w:rPr>
          <w:rFonts w:hint="eastAsia"/>
          <w:b/>
          <w:bCs/>
          <w:sz w:val="24"/>
          <w:szCs w:val="24"/>
          <w:lang w:val="en-US"/>
        </w:rPr>
        <w:t>Calculating run length of EWMA charts</w:t>
      </w:r>
    </w:p>
    <w:p w14:paraId="5925EFE3" w14:textId="76BAF470" w:rsidR="00C37870" w:rsidRPr="00C37870" w:rsidRDefault="00C37870" w:rsidP="00C37870">
      <w:pPr>
        <w:widowControl w:val="0"/>
        <w:tabs>
          <w:tab w:val="left" w:pos="340"/>
        </w:tabs>
        <w:autoSpaceDE/>
        <w:autoSpaceDN/>
        <w:adjustRightInd w:val="0"/>
        <w:snapToGrid w:val="0"/>
        <w:ind w:firstLineChars="200" w:firstLine="480"/>
        <w:jc w:val="both"/>
        <w:rPr>
          <w:rFonts w:hint="eastAsia"/>
          <w:kern w:val="2"/>
          <w:sz w:val="24"/>
          <w:szCs w:val="24"/>
          <w:lang w:val="en-US" w:eastAsia="zh-CN"/>
        </w:rPr>
      </w:pPr>
      <w:r w:rsidRPr="00C37870">
        <w:rPr>
          <w:rFonts w:hint="eastAsia"/>
          <w:sz w:val="24"/>
          <w:szCs w:val="24"/>
          <w:lang w:val="en-US" w:eastAsia="zh-CN"/>
        </w:rPr>
        <w:t xml:space="preserve">The most common measure of control chart performance is </w:t>
      </w:r>
      <w:r w:rsidRPr="00C37870">
        <w:rPr>
          <w:sz w:val="24"/>
          <w:szCs w:val="24"/>
          <w:lang w:val="en-US" w:eastAsia="zh-CN"/>
        </w:rPr>
        <w:t>average run length (ARL), which is based on the run length (RL) distribution.</w:t>
      </w:r>
      <w:r w:rsidRPr="00C37870">
        <w:rPr>
          <w:rFonts w:hint="eastAsia"/>
          <w:sz w:val="24"/>
          <w:szCs w:val="24"/>
          <w:lang w:val="en-US" w:eastAsia="zh-CN"/>
        </w:rPr>
        <w:t xml:space="preserve"> </w:t>
      </w:r>
      <w:r w:rsidRPr="00C37870">
        <w:rPr>
          <w:sz w:val="24"/>
          <w:szCs w:val="24"/>
          <w:lang w:val="en-US" w:eastAsia="zh-CN"/>
        </w:rPr>
        <w:t>The</w:t>
      </w:r>
      <w:r w:rsidRPr="00C37870">
        <w:rPr>
          <w:rFonts w:hint="eastAsia"/>
          <w:sz w:val="24"/>
          <w:szCs w:val="24"/>
          <w:lang w:val="en-US" w:eastAsia="zh-CN"/>
        </w:rPr>
        <w:t xml:space="preserve"> </w:t>
      </w:r>
      <w:r w:rsidRPr="00C37870">
        <w:rPr>
          <w:sz w:val="24"/>
          <w:szCs w:val="24"/>
          <w:lang w:val="en-US" w:eastAsia="zh-CN"/>
        </w:rPr>
        <w:t>number of samples needed</w:t>
      </w:r>
      <w:r w:rsidRPr="00C37870">
        <w:rPr>
          <w:rFonts w:hint="eastAsia"/>
          <w:sz w:val="24"/>
          <w:szCs w:val="24"/>
          <w:lang w:val="en-US" w:eastAsia="zh-CN"/>
        </w:rPr>
        <w:t xml:space="preserve"> </w:t>
      </w:r>
      <w:r w:rsidRPr="00C37870">
        <w:rPr>
          <w:sz w:val="24"/>
          <w:szCs w:val="24"/>
          <w:lang w:val="en-US" w:eastAsia="zh-CN"/>
        </w:rPr>
        <w:t>for a control chart to signal is a run length or, equivalently, one observation of the</w:t>
      </w:r>
      <w:r w:rsidRPr="00C37870">
        <w:rPr>
          <w:rFonts w:hint="eastAsia"/>
          <w:sz w:val="24"/>
          <w:szCs w:val="24"/>
          <w:lang w:val="en-US" w:eastAsia="zh-CN"/>
        </w:rPr>
        <w:t xml:space="preserve"> </w:t>
      </w:r>
      <w:r w:rsidRPr="00C37870">
        <w:rPr>
          <w:sz w:val="24"/>
          <w:szCs w:val="24"/>
          <w:lang w:val="en-US" w:eastAsia="zh-CN"/>
        </w:rPr>
        <w:t>RL distribution. The mean of the RL distribution is the ARL, which is actually the</w:t>
      </w:r>
      <w:r w:rsidRPr="00C37870">
        <w:rPr>
          <w:rFonts w:hint="eastAsia"/>
          <w:sz w:val="24"/>
          <w:szCs w:val="24"/>
          <w:lang w:val="en-US" w:eastAsia="zh-CN"/>
        </w:rPr>
        <w:t xml:space="preserve"> </w:t>
      </w:r>
      <w:r w:rsidRPr="00C37870">
        <w:rPr>
          <w:sz w:val="24"/>
          <w:szCs w:val="24"/>
          <w:lang w:val="en-US" w:eastAsia="zh-CN"/>
        </w:rPr>
        <w:t>average number of observations needed for a control chart to signal. Usually, along</w:t>
      </w:r>
      <w:r w:rsidRPr="00C37870">
        <w:rPr>
          <w:rFonts w:hint="eastAsia"/>
          <w:sz w:val="24"/>
          <w:szCs w:val="24"/>
          <w:lang w:val="en-US" w:eastAsia="zh-CN"/>
        </w:rPr>
        <w:t xml:space="preserve"> </w:t>
      </w:r>
      <w:r w:rsidRPr="00C37870">
        <w:rPr>
          <w:sz w:val="24"/>
          <w:szCs w:val="24"/>
          <w:lang w:val="en-US" w:eastAsia="zh-CN"/>
        </w:rPr>
        <w:t>with the ARL, the standard deviation of the run length (SDRL) is also computed.</w:t>
      </w:r>
      <w:r w:rsidRPr="00C37870">
        <w:rPr>
          <w:rFonts w:hint="eastAsia"/>
          <w:sz w:val="24"/>
          <w:szCs w:val="24"/>
          <w:lang w:val="en-US" w:eastAsia="zh-CN"/>
        </w:rPr>
        <w:t xml:space="preserve"> </w:t>
      </w:r>
      <w:r w:rsidRPr="00C37870">
        <w:rPr>
          <w:sz w:val="24"/>
          <w:szCs w:val="24"/>
          <w:lang w:val="en-US" w:eastAsia="zh-CN"/>
        </w:rPr>
        <w:t>I</w:t>
      </w:r>
      <w:r w:rsidRPr="00C37870">
        <w:rPr>
          <w:rFonts w:hint="eastAsia"/>
          <w:sz w:val="24"/>
          <w:szCs w:val="24"/>
          <w:lang w:val="en-US" w:eastAsia="zh-CN"/>
        </w:rPr>
        <w:t xml:space="preserve">n </w:t>
      </w:r>
      <w:r w:rsidRPr="00C37870">
        <w:rPr>
          <w:sz w:val="24"/>
          <w:szCs w:val="24"/>
          <w:lang w:val="en-US" w:eastAsia="zh-CN"/>
        </w:rPr>
        <w:t>this</w:t>
      </w:r>
      <w:r w:rsidRPr="00C37870">
        <w:rPr>
          <w:rFonts w:hint="eastAsia"/>
          <w:sz w:val="24"/>
          <w:szCs w:val="24"/>
          <w:lang w:val="en-US" w:eastAsia="zh-CN"/>
        </w:rPr>
        <w:t xml:space="preserve"> article, Markov chain method is used to calculate RL of the four EWMA charts. This procedure could be shown by WR EWMA chart as example. </w:t>
      </w:r>
      <w:r w:rsidRPr="00C37870">
        <w:rPr>
          <w:sz w:val="24"/>
          <w:szCs w:val="24"/>
          <w:lang w:val="en-US" w:eastAsia="zh-CN"/>
        </w:rPr>
        <w:t>A</w:t>
      </w:r>
      <w:r w:rsidRPr="00C37870">
        <w:rPr>
          <w:rFonts w:hint="eastAsia"/>
          <w:sz w:val="24"/>
          <w:szCs w:val="24"/>
          <w:lang w:val="en-US" w:eastAsia="zh-CN"/>
        </w:rPr>
        <w:t>t first, d</w:t>
      </w:r>
      <w:r w:rsidRPr="00C37870">
        <w:rPr>
          <w:sz w:val="24"/>
          <w:szCs w:val="24"/>
          <w:lang w:val="en-US" w:eastAsia="zh-CN"/>
        </w:rPr>
        <w:t>ividing</w:t>
      </w:r>
      <w:r w:rsidRPr="00C37870">
        <w:rPr>
          <w:rFonts w:hint="eastAsia"/>
          <w:sz w:val="24"/>
          <w:szCs w:val="24"/>
          <w:lang w:val="en-US" w:eastAsia="zh-CN"/>
        </w:rPr>
        <w:t xml:space="preserve"> the interval between the upper control limits to center line into </w:t>
      </w:r>
      <w:r w:rsidRPr="00C37870">
        <w:rPr>
          <w:position w:val="-6"/>
          <w:sz w:val="24"/>
          <w:szCs w:val="24"/>
          <w:lang w:val="en-US" w:eastAsia="zh-CN"/>
        </w:rPr>
        <w:object w:dxaOrig="139" w:dyaOrig="240" w14:anchorId="20B63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63" type="#_x0000_t75" style="width:6.75pt;height:12pt" o:ole="">
            <v:imagedata r:id="rId7" o:title=""/>
          </v:shape>
          <o:OLEObject Type="Embed" ProgID="Equation.3" ShapeID="_x0000_i2663" DrawAspect="Content" ObjectID="_1493384501" r:id="rId8"/>
        </w:object>
      </w:r>
      <w:r w:rsidRPr="00C37870">
        <w:rPr>
          <w:rFonts w:hint="eastAsia"/>
          <w:sz w:val="24"/>
          <w:szCs w:val="24"/>
          <w:lang w:val="en-US" w:eastAsia="zh-CN"/>
        </w:rPr>
        <w:t xml:space="preserve">subintervals of </w:t>
      </w:r>
      <w:r w:rsidRPr="00C37870">
        <w:rPr>
          <w:sz w:val="24"/>
          <w:szCs w:val="24"/>
          <w:lang w:val="en-US" w:eastAsia="zh-CN"/>
        </w:rPr>
        <w:t>width</w:t>
      </w:r>
      <w:r w:rsidRPr="00C37870">
        <w:rPr>
          <w:position w:val="-24"/>
          <w:sz w:val="24"/>
          <w:szCs w:val="24"/>
          <w:lang w:val="en-US" w:eastAsia="zh-CN"/>
        </w:rPr>
        <w:object w:dxaOrig="1560" w:dyaOrig="660" w14:anchorId="0A818152">
          <v:shape id="_x0000_i2664" type="#_x0000_t75" style="width:78pt;height:33pt" o:ole="">
            <v:imagedata r:id="rId9" o:title=""/>
          </v:shape>
          <o:OLEObject Type="Embed" ProgID="Equation.3" ShapeID="_x0000_i2664" DrawAspect="Content" ObjectID="_1493384502" r:id="rId10"/>
        </w:object>
      </w:r>
      <w:r w:rsidRPr="00C37870">
        <w:rPr>
          <w:rFonts w:hint="eastAsia"/>
          <w:sz w:val="24"/>
          <w:szCs w:val="24"/>
          <w:lang w:val="en-US" w:eastAsia="zh-CN"/>
        </w:rPr>
        <w:t>.</w:t>
      </w:r>
      <w:r w:rsidRPr="00C37870">
        <w:rPr>
          <w:rFonts w:hint="eastAsia"/>
          <w:kern w:val="2"/>
          <w:sz w:val="24"/>
          <w:szCs w:val="24"/>
          <w:lang w:val="en-US" w:eastAsia="zh-CN"/>
        </w:rPr>
        <w:t xml:space="preserve"> </w:t>
      </w:r>
    </w:p>
    <w:p w14:paraId="1F70CE14" w14:textId="77777777" w:rsidR="00C37870" w:rsidRPr="00C37870" w:rsidRDefault="00C37870" w:rsidP="00C37870">
      <w:pPr>
        <w:widowControl w:val="0"/>
        <w:tabs>
          <w:tab w:val="left" w:pos="340"/>
        </w:tabs>
        <w:autoSpaceDE/>
        <w:autoSpaceDN/>
        <w:adjustRightInd w:val="0"/>
        <w:snapToGrid w:val="0"/>
        <w:jc w:val="both"/>
        <w:rPr>
          <w:rFonts w:hint="eastAsia"/>
          <w:kern w:val="2"/>
          <w:sz w:val="24"/>
          <w:szCs w:val="24"/>
          <w:lang w:val="en-US" w:eastAsia="zh-CN"/>
        </w:rPr>
      </w:pPr>
      <w:r w:rsidRPr="00C37870">
        <w:rPr>
          <w:rFonts w:hint="eastAsia"/>
          <w:kern w:val="2"/>
          <w:sz w:val="24"/>
          <w:szCs w:val="24"/>
          <w:lang w:val="en-US" w:eastAsia="zh-CN"/>
        </w:rPr>
        <w:t>The rows of the transition probability matrix must add to 1 so that the probabilities of going from an in-control state to the out of control state are found by subtraction.</w:t>
      </w:r>
    </w:p>
    <w:p w14:paraId="459E9D59" w14:textId="77777777" w:rsidR="00C37870" w:rsidRPr="00C37870" w:rsidRDefault="00C37870" w:rsidP="00C37870">
      <w:pPr>
        <w:widowControl w:val="0"/>
        <w:tabs>
          <w:tab w:val="left" w:pos="340"/>
        </w:tabs>
        <w:autoSpaceDE/>
        <w:autoSpaceDN/>
        <w:adjustRightInd w:val="0"/>
        <w:snapToGrid w:val="0"/>
        <w:jc w:val="both"/>
        <w:rPr>
          <w:kern w:val="2"/>
          <w:sz w:val="24"/>
          <w:szCs w:val="24"/>
          <w:lang w:val="en-US" w:eastAsia="zh-CN"/>
        </w:rPr>
      </w:pPr>
      <w:r w:rsidRPr="00C37870">
        <w:rPr>
          <w:kern w:val="2"/>
          <w:sz w:val="24"/>
          <w:szCs w:val="24"/>
          <w:lang w:val="en-US" w:eastAsia="zh-CN"/>
        </w:rPr>
        <w:t xml:space="preserve">The </w:t>
      </w:r>
      <w:r w:rsidRPr="00C37870">
        <w:rPr>
          <w:kern w:val="2"/>
          <w:position w:val="-6"/>
          <w:sz w:val="24"/>
          <w:szCs w:val="24"/>
          <w:lang w:val="en-US" w:eastAsia="zh-CN"/>
        </w:rPr>
        <w:object w:dxaOrig="120" w:dyaOrig="200" w14:anchorId="2D11CDD9">
          <v:shape id="_x0000_i2693" type="#_x0000_t75" style="width:6pt;height:9.75pt" o:ole="">
            <v:imagedata r:id="rId11" o:title=""/>
          </v:shape>
          <o:OLEObject Type="Embed" ProgID="Equation.3" ShapeID="_x0000_i2693" DrawAspect="Content" ObjectID="_1493384503" r:id="rId12"/>
        </w:object>
      </w:r>
      <w:r w:rsidRPr="00C37870">
        <w:rPr>
          <w:kern w:val="2"/>
          <w:sz w:val="24"/>
          <w:szCs w:val="24"/>
          <w:lang w:val="en-US" w:eastAsia="zh-CN"/>
        </w:rPr>
        <w:t xml:space="preserve">th stage transition probability matrix is useful for evaluating the run length distribution because it contains the probabilities that the control statistic goes from one state to another state in </w:t>
      </w:r>
      <w:r w:rsidRPr="00C37870">
        <w:rPr>
          <w:kern w:val="2"/>
          <w:position w:val="-6"/>
          <w:sz w:val="24"/>
          <w:szCs w:val="24"/>
          <w:lang w:val="en-US" w:eastAsia="zh-CN"/>
        </w:rPr>
        <w:object w:dxaOrig="120" w:dyaOrig="200" w14:anchorId="1F12BDC0">
          <v:shape id="_x0000_i2694" type="#_x0000_t75" style="width:6pt;height:9.75pt" o:ole="">
            <v:imagedata r:id="rId13" o:title=""/>
          </v:shape>
          <o:OLEObject Type="Embed" ProgID="Equation.3" ShapeID="_x0000_i2694" DrawAspect="Content" ObjectID="_1493384504" r:id="rId14"/>
        </w:object>
      </w:r>
      <w:r w:rsidRPr="00C37870">
        <w:rPr>
          <w:kern w:val="2"/>
          <w:sz w:val="24"/>
          <w:szCs w:val="24"/>
          <w:lang w:val="en-US" w:eastAsia="zh-CN"/>
        </w:rPr>
        <w:t xml:space="preserve"> steps,</w:t>
      </w:r>
    </w:p>
    <w:p w14:paraId="71072F21" w14:textId="77777777" w:rsidR="00C37870" w:rsidRPr="00C37870" w:rsidRDefault="00C37870" w:rsidP="00C37870">
      <w:pPr>
        <w:widowControl w:val="0"/>
        <w:tabs>
          <w:tab w:val="left" w:pos="340"/>
        </w:tabs>
        <w:wordWrap w:val="0"/>
        <w:autoSpaceDE/>
        <w:autoSpaceDN/>
        <w:adjustRightInd w:val="0"/>
        <w:snapToGrid w:val="0"/>
        <w:ind w:firstLineChars="600" w:firstLine="1440"/>
        <w:jc w:val="right"/>
        <w:rPr>
          <w:kern w:val="2"/>
          <w:sz w:val="24"/>
          <w:szCs w:val="24"/>
          <w:lang w:val="en-US" w:eastAsia="zh-CN"/>
        </w:rPr>
      </w:pPr>
      <w:r w:rsidRPr="00C37870">
        <w:rPr>
          <w:kern w:val="2"/>
          <w:position w:val="-26"/>
          <w:sz w:val="24"/>
          <w:szCs w:val="24"/>
          <w:lang w:val="en-US" w:eastAsia="zh-CN"/>
        </w:rPr>
        <w:object w:dxaOrig="1460" w:dyaOrig="600" w14:anchorId="2D061FE8">
          <v:shape id="_x0000_i2695" type="#_x0000_t75" style="width:72.75pt;height:30pt" o:ole="">
            <v:imagedata r:id="rId15" o:title=""/>
          </v:shape>
          <o:OLEObject Type="Embed" ProgID="Equation.3" ShapeID="_x0000_i2695" DrawAspect="Content" ObjectID="_1493384505" r:id="rId16"/>
        </w:object>
      </w:r>
      <w:r w:rsidRPr="00C37870">
        <w:rPr>
          <w:rFonts w:hint="eastAsia"/>
          <w:kern w:val="2"/>
          <w:sz w:val="24"/>
          <w:szCs w:val="24"/>
          <w:lang w:val="en-US" w:eastAsia="zh-CN"/>
        </w:rPr>
        <w:t xml:space="preserve">                          </w:t>
      </w:r>
      <w:r w:rsidRPr="00C37870">
        <w:rPr>
          <w:kern w:val="2"/>
          <w:sz w:val="24"/>
          <w:szCs w:val="24"/>
          <w:lang w:val="en-US" w:eastAsia="zh-CN"/>
        </w:rPr>
        <w:t xml:space="preserve">              (14)</w:t>
      </w:r>
    </w:p>
    <w:p w14:paraId="3BA7EFFD" w14:textId="77777777" w:rsidR="00C37870" w:rsidRPr="00C37870" w:rsidRDefault="00C37870" w:rsidP="00C37870">
      <w:pPr>
        <w:widowControl w:val="0"/>
        <w:tabs>
          <w:tab w:val="left" w:pos="340"/>
        </w:tabs>
        <w:autoSpaceDE/>
        <w:autoSpaceDN/>
        <w:adjustRightInd w:val="0"/>
        <w:snapToGrid w:val="0"/>
        <w:jc w:val="right"/>
        <w:rPr>
          <w:kern w:val="2"/>
          <w:sz w:val="24"/>
          <w:szCs w:val="24"/>
          <w:lang w:val="en-US" w:eastAsia="zh-CN"/>
        </w:rPr>
      </w:pPr>
      <w:r w:rsidRPr="00C37870">
        <w:rPr>
          <w:kern w:val="2"/>
          <w:sz w:val="24"/>
          <w:szCs w:val="24"/>
          <w:lang w:val="en-US" w:eastAsia="zh-CN"/>
        </w:rPr>
        <w:t>Hence</w:t>
      </w:r>
      <w:r w:rsidRPr="00C37870">
        <w:rPr>
          <w:rFonts w:hint="eastAsia"/>
          <w:kern w:val="2"/>
          <w:sz w:val="24"/>
          <w:szCs w:val="24"/>
          <w:lang w:val="en-US" w:eastAsia="zh-CN"/>
        </w:rPr>
        <w:t xml:space="preserve"> </w:t>
      </w:r>
      <w:r w:rsidRPr="00C37870">
        <w:rPr>
          <w:kern w:val="2"/>
          <w:position w:val="-8"/>
          <w:sz w:val="24"/>
          <w:szCs w:val="24"/>
          <w:lang w:val="en-US" w:eastAsia="zh-CN"/>
        </w:rPr>
        <w:object w:dxaOrig="1680" w:dyaOrig="300" w14:anchorId="5F02C0C0">
          <v:shape id="_x0000_i2696" type="#_x0000_t75" style="width:84pt;height:15pt" o:ole="">
            <v:imagedata r:id="rId17" o:title=""/>
          </v:shape>
          <o:OLEObject Type="Embed" ProgID="Equation.3" ShapeID="_x0000_i2696" DrawAspect="Content" ObjectID="_1493384506" r:id="rId18"/>
        </w:object>
      </w:r>
      <w:r w:rsidRPr="00C37870">
        <w:rPr>
          <w:rFonts w:hint="eastAsia"/>
          <w:kern w:val="2"/>
          <w:sz w:val="24"/>
          <w:szCs w:val="24"/>
          <w:lang w:val="en-US" w:eastAsia="zh-CN"/>
        </w:rPr>
        <w:t xml:space="preserve">   </w:t>
      </w:r>
      <w:r w:rsidRPr="00C37870">
        <w:rPr>
          <w:kern w:val="2"/>
          <w:sz w:val="24"/>
          <w:szCs w:val="24"/>
          <w:lang w:val="en-US" w:eastAsia="zh-CN"/>
        </w:rPr>
        <w:t xml:space="preserve">and </w:t>
      </w:r>
      <w:r w:rsidRPr="00C37870">
        <w:rPr>
          <w:rFonts w:hint="eastAsia"/>
          <w:kern w:val="2"/>
          <w:sz w:val="24"/>
          <w:szCs w:val="24"/>
          <w:lang w:val="en-US" w:eastAsia="zh-CN"/>
        </w:rPr>
        <w:t xml:space="preserve">    </w:t>
      </w:r>
      <w:r w:rsidRPr="00C37870">
        <w:rPr>
          <w:kern w:val="2"/>
          <w:position w:val="-8"/>
          <w:sz w:val="24"/>
          <w:szCs w:val="24"/>
          <w:lang w:val="en-US" w:eastAsia="zh-CN"/>
        </w:rPr>
        <w:object w:dxaOrig="1900" w:dyaOrig="300" w14:anchorId="07A96BCE">
          <v:shape id="_x0000_i2697" type="#_x0000_t75" style="width:95.25pt;height:15pt" o:ole="">
            <v:imagedata r:id="rId19" o:title=""/>
          </v:shape>
          <o:OLEObject Type="Embed" ProgID="Equation.3" ShapeID="_x0000_i2697" DrawAspect="Content" ObjectID="_1493384507" r:id="rId20"/>
        </w:object>
      </w:r>
      <w:r w:rsidRPr="00C37870">
        <w:rPr>
          <w:kern w:val="2"/>
          <w:sz w:val="24"/>
          <w:szCs w:val="24"/>
          <w:lang w:val="en-US" w:eastAsia="zh-CN"/>
        </w:rPr>
        <w:t xml:space="preserve">.        </w:t>
      </w:r>
      <w:r w:rsidRPr="00C37870">
        <w:rPr>
          <w:rFonts w:hint="eastAsia"/>
          <w:kern w:val="2"/>
          <w:sz w:val="24"/>
          <w:szCs w:val="24"/>
          <w:lang w:val="en-US" w:eastAsia="zh-CN"/>
        </w:rPr>
        <w:t xml:space="preserve">               </w:t>
      </w:r>
      <w:r w:rsidRPr="00C37870">
        <w:rPr>
          <w:kern w:val="2"/>
          <w:sz w:val="24"/>
          <w:szCs w:val="24"/>
          <w:lang w:val="en-US" w:eastAsia="zh-CN"/>
        </w:rPr>
        <w:t xml:space="preserve">      (15)</w:t>
      </w:r>
    </w:p>
    <w:p w14:paraId="34AE7F13" w14:textId="77777777" w:rsidR="00C37870" w:rsidRPr="00C37870" w:rsidRDefault="00C37870" w:rsidP="00C37870">
      <w:pPr>
        <w:widowControl w:val="0"/>
        <w:tabs>
          <w:tab w:val="left" w:pos="340"/>
        </w:tabs>
        <w:autoSpaceDE/>
        <w:autoSpaceDN/>
        <w:adjustRightInd w:val="0"/>
        <w:snapToGrid w:val="0"/>
        <w:jc w:val="both"/>
        <w:rPr>
          <w:kern w:val="2"/>
          <w:sz w:val="24"/>
          <w:szCs w:val="24"/>
          <w:lang w:val="en-US" w:eastAsia="zh-CN"/>
        </w:rPr>
      </w:pPr>
      <w:r w:rsidRPr="00C37870">
        <w:rPr>
          <w:kern w:val="2"/>
          <w:sz w:val="24"/>
          <w:szCs w:val="24"/>
          <w:lang w:val="en-US" w:eastAsia="zh-CN"/>
        </w:rPr>
        <w:lastRenderedPageBreak/>
        <w:t xml:space="preserve">Using equation (15), the ARL and SDRL based on </w:t>
      </w:r>
      <w:r w:rsidRPr="00C37870">
        <w:rPr>
          <w:kern w:val="2"/>
          <w:position w:val="-6"/>
          <w:sz w:val="24"/>
          <w:szCs w:val="24"/>
          <w:lang w:val="en-US" w:eastAsia="zh-CN"/>
        </w:rPr>
        <w:object w:dxaOrig="120" w:dyaOrig="200" w14:anchorId="09998073">
          <v:shape id="_x0000_i2698" type="#_x0000_t75" style="width:6pt;height:9.75pt" o:ole="">
            <v:imagedata r:id="rId21" o:title=""/>
          </v:shape>
          <o:OLEObject Type="Embed" ProgID="Equation.3" ShapeID="_x0000_i2698" DrawAspect="Content" ObjectID="_1493384508" r:id="rId22"/>
        </w:object>
      </w:r>
      <w:r w:rsidRPr="00C37870">
        <w:rPr>
          <w:kern w:val="2"/>
          <w:sz w:val="24"/>
          <w:szCs w:val="24"/>
          <w:lang w:val="en-US" w:eastAsia="zh-CN"/>
        </w:rPr>
        <w:t xml:space="preserve"> in-control states is given by</w:t>
      </w:r>
    </w:p>
    <w:p w14:paraId="254DBE4A" w14:textId="77777777" w:rsidR="00C37870" w:rsidRPr="00C37870" w:rsidRDefault="00C37870" w:rsidP="00C37870">
      <w:pPr>
        <w:widowControl w:val="0"/>
        <w:wordWrap w:val="0"/>
        <w:autoSpaceDE/>
        <w:autoSpaceDN/>
        <w:ind w:firstLine="435"/>
        <w:jc w:val="right"/>
        <w:rPr>
          <w:kern w:val="2"/>
          <w:sz w:val="24"/>
          <w:szCs w:val="24"/>
          <w:lang w:val="en-US" w:eastAsia="zh-CN"/>
        </w:rPr>
      </w:pPr>
      <w:r w:rsidRPr="00C37870">
        <w:rPr>
          <w:kern w:val="2"/>
          <w:position w:val="-32"/>
          <w:sz w:val="24"/>
          <w:szCs w:val="24"/>
          <w:lang w:val="en-US" w:eastAsia="zh-CN"/>
        </w:rPr>
        <w:object w:dxaOrig="4120" w:dyaOrig="740" w14:anchorId="60E1819C">
          <v:shape id="_x0000_i2699" type="#_x0000_t75" style="width:170.25pt;height:30.75pt" o:ole="">
            <v:imagedata r:id="rId23" o:title=""/>
          </v:shape>
          <o:OLEObject Type="Embed" ProgID="Equation.3" ShapeID="_x0000_i2699" DrawAspect="Content" ObjectID="_1493384509" r:id="rId24"/>
        </w:object>
      </w:r>
      <w:r w:rsidRPr="00C37870">
        <w:rPr>
          <w:kern w:val="2"/>
          <w:position w:val="-28"/>
          <w:sz w:val="24"/>
          <w:szCs w:val="24"/>
          <w:lang w:val="en-US" w:eastAsia="zh-CN"/>
        </w:rPr>
        <w:object w:dxaOrig="2620" w:dyaOrig="680" w14:anchorId="4636229A">
          <v:shape id="_x0000_i2700" type="#_x0000_t75" style="width:104.25pt;height:27pt" o:ole="">
            <v:imagedata r:id="rId25" o:title=""/>
          </v:shape>
          <o:OLEObject Type="Embed" ProgID="Equation.3" ShapeID="_x0000_i2700" DrawAspect="Content" ObjectID="_1493384510" r:id="rId26"/>
        </w:object>
      </w:r>
      <w:r w:rsidRPr="00C37870">
        <w:rPr>
          <w:kern w:val="2"/>
          <w:sz w:val="24"/>
          <w:szCs w:val="24"/>
          <w:lang w:val="en-US" w:eastAsia="zh-CN"/>
        </w:rPr>
        <w:t xml:space="preserve">  </w:t>
      </w:r>
      <w:r w:rsidRPr="00C37870">
        <w:rPr>
          <w:rFonts w:hint="eastAsia"/>
          <w:kern w:val="2"/>
          <w:sz w:val="24"/>
          <w:szCs w:val="24"/>
          <w:lang w:val="en-US" w:eastAsia="zh-CN"/>
        </w:rPr>
        <w:t xml:space="preserve">         </w:t>
      </w:r>
      <w:r w:rsidRPr="00C37870">
        <w:rPr>
          <w:kern w:val="2"/>
          <w:sz w:val="24"/>
          <w:szCs w:val="24"/>
          <w:lang w:val="en-US" w:eastAsia="zh-CN"/>
        </w:rPr>
        <w:t xml:space="preserve"> </w:t>
      </w:r>
      <w:r w:rsidRPr="00C37870">
        <w:rPr>
          <w:rFonts w:hint="eastAsia"/>
          <w:kern w:val="2"/>
          <w:sz w:val="24"/>
          <w:szCs w:val="24"/>
          <w:lang w:val="en-US" w:eastAsia="zh-CN"/>
        </w:rPr>
        <w:t xml:space="preserve"> </w:t>
      </w:r>
      <w:r w:rsidRPr="00C37870">
        <w:rPr>
          <w:kern w:val="2"/>
          <w:sz w:val="24"/>
          <w:szCs w:val="24"/>
          <w:lang w:val="en-US" w:eastAsia="zh-CN"/>
        </w:rPr>
        <w:t xml:space="preserve">   (16)</w:t>
      </w:r>
    </w:p>
    <w:p w14:paraId="3289F42D" w14:textId="77777777" w:rsidR="00C37870" w:rsidRPr="00C37870" w:rsidRDefault="00C37870" w:rsidP="00C37870">
      <w:pPr>
        <w:widowControl w:val="0"/>
        <w:wordWrap w:val="0"/>
        <w:autoSpaceDE/>
        <w:autoSpaceDN/>
        <w:ind w:firstLineChars="350" w:firstLine="840"/>
        <w:jc w:val="right"/>
        <w:rPr>
          <w:kern w:val="2"/>
          <w:sz w:val="24"/>
          <w:szCs w:val="24"/>
          <w:lang w:val="en-US" w:eastAsia="zh-CN"/>
        </w:rPr>
      </w:pPr>
      <w:r w:rsidRPr="00C37870">
        <w:rPr>
          <w:kern w:val="2"/>
          <w:position w:val="-12"/>
          <w:sz w:val="24"/>
          <w:szCs w:val="24"/>
          <w:lang w:val="en-US" w:eastAsia="zh-CN"/>
        </w:rPr>
        <w:object w:dxaOrig="5899" w:dyaOrig="440" w14:anchorId="25DA3B20">
          <v:shape id="_x0000_i2701" type="#_x0000_t75" style="width:264.75pt;height:18pt" o:ole="">
            <v:imagedata r:id="rId27" o:title=""/>
          </v:shape>
          <o:OLEObject Type="Embed" ProgID="Equation.3" ShapeID="_x0000_i2701" DrawAspect="Content" ObjectID="_1493384511" r:id="rId28"/>
        </w:object>
      </w:r>
      <w:r w:rsidRPr="00C37870">
        <w:rPr>
          <w:kern w:val="2"/>
          <w:sz w:val="24"/>
          <w:szCs w:val="24"/>
          <w:lang w:val="en-US" w:eastAsia="zh-CN"/>
        </w:rPr>
        <w:t xml:space="preserve">                  (17)</w:t>
      </w:r>
    </w:p>
    <w:p w14:paraId="09C0A881" w14:textId="77777777" w:rsidR="00C37870" w:rsidRPr="007D52BC" w:rsidRDefault="00C37870" w:rsidP="00C37870">
      <w:pPr>
        <w:pStyle w:val="TTPParagraphothers"/>
        <w:ind w:firstLine="0"/>
      </w:pPr>
    </w:p>
    <w:p w14:paraId="077A2588" w14:textId="77777777" w:rsidR="007D52BC" w:rsidRPr="007D52BC" w:rsidRDefault="007D52BC" w:rsidP="007D52BC">
      <w:pPr>
        <w:pStyle w:val="TTPSectionHeading"/>
      </w:pPr>
      <w:r w:rsidRPr="007D52BC">
        <w:t>Conclusion</w:t>
      </w:r>
    </w:p>
    <w:p w14:paraId="077A2589" w14:textId="77777777" w:rsidR="007D52BC" w:rsidRPr="007D52BC" w:rsidRDefault="007D52BC" w:rsidP="007D52BC">
      <w:pPr>
        <w:pStyle w:val="TTPParagraphothers"/>
      </w:pPr>
      <w:r w:rsidRPr="007D52BC">
        <w:t>The study results are briefly summarized as follows. To continuously reduce product defects, it is necessary for SMEs to formulate PL response strategies for each phase of the product life cycle by continuously collecting and analyzing PL cases in the same industry or for similar products. Additionally, SMEs should invest more technological effort to ensure product safety. Further, SMEs should spread PL awareness to all staff members by training internal PL experts. Moreover, a SME should enroll in PL insurance and spread this information to its customers so that they become aware that the company is proactively conforming to the PL law.</w:t>
      </w:r>
    </w:p>
    <w:p w14:paraId="077A258A" w14:textId="77777777" w:rsidR="007D52BC" w:rsidRDefault="007D52BC" w:rsidP="00C37870">
      <w:pPr>
        <w:pStyle w:val="TTPParagraphothers"/>
        <w:ind w:firstLine="0"/>
      </w:pPr>
      <w:r w:rsidRPr="007D52BC">
        <w:t>The present study did not address characteristics by types of business due to time and cost; hence, the study results have limitations in that they cannot be applied to SMEs of all business types. To address this limitation, additional studies are required, which consider the characteristics of various businesses such as general machinery, automobile, shipbuilding, semiconductor, electrical and electronic industries, with experts from these various businesses as the target.</w:t>
      </w:r>
    </w:p>
    <w:p w14:paraId="33720105" w14:textId="603A336F" w:rsidR="00C37870" w:rsidRDefault="00C37870" w:rsidP="00C37870">
      <w:pPr>
        <w:pStyle w:val="TTPParagraphothers"/>
        <w:ind w:firstLine="0"/>
      </w:pPr>
    </w:p>
    <w:p w14:paraId="04B7BA3F" w14:textId="77777777" w:rsidR="00C37870" w:rsidRPr="00141B39" w:rsidRDefault="00C37870" w:rsidP="00C37870">
      <w:pPr>
        <w:pStyle w:val="TTPSectionHeading"/>
        <w:spacing w:before="120"/>
      </w:pPr>
      <w:r w:rsidRPr="00141B39">
        <w:t>Acknowledgment</w:t>
      </w:r>
    </w:p>
    <w:p w14:paraId="74C5B83F" w14:textId="1770AA14" w:rsidR="00C37870" w:rsidRPr="007D52BC" w:rsidRDefault="00C37870" w:rsidP="00C37870">
      <w:pPr>
        <w:pStyle w:val="TTPParagraphothers"/>
        <w:ind w:firstLine="0"/>
      </w:pPr>
      <w:r w:rsidRPr="00141B39">
        <w:rPr>
          <w:lang w:eastAsia="fr-FR"/>
        </w:rPr>
        <w:t>This research was partially supported by the National Science Foundation of China under Grant 7</w:t>
      </w:r>
      <w:r w:rsidRPr="00141B39">
        <w:t>1002073.</w:t>
      </w:r>
    </w:p>
    <w:p w14:paraId="077A258B" w14:textId="77777777" w:rsidR="004B3A8F" w:rsidRDefault="004B3A8F">
      <w:pPr>
        <w:pStyle w:val="TTPSectionHeading"/>
      </w:pPr>
      <w:r w:rsidRPr="00DD4E1D">
        <w:t>References</w:t>
      </w:r>
    </w:p>
    <w:p w14:paraId="323836E1" w14:textId="77777777" w:rsidR="00C37870" w:rsidRPr="00C37870" w:rsidRDefault="00C37870" w:rsidP="00C37870">
      <w:pPr>
        <w:pStyle w:val="References"/>
        <w:rPr>
          <w:rFonts w:hint="eastAsia"/>
          <w:sz w:val="24"/>
          <w:szCs w:val="21"/>
        </w:rPr>
      </w:pPr>
      <w:r w:rsidRPr="00C37870">
        <w:rPr>
          <w:sz w:val="24"/>
          <w:szCs w:val="21"/>
        </w:rPr>
        <w:t xml:space="preserve">Montgomery, D. C. Introduction to </w:t>
      </w:r>
      <w:r w:rsidRPr="00C37870">
        <w:rPr>
          <w:rFonts w:hint="eastAsia"/>
          <w:sz w:val="24"/>
          <w:szCs w:val="21"/>
        </w:rPr>
        <w:t>s</w:t>
      </w:r>
      <w:r w:rsidRPr="00C37870">
        <w:rPr>
          <w:sz w:val="24"/>
          <w:szCs w:val="21"/>
        </w:rPr>
        <w:t xml:space="preserve">tatistical </w:t>
      </w:r>
      <w:r w:rsidRPr="00C37870">
        <w:rPr>
          <w:rFonts w:hint="eastAsia"/>
          <w:sz w:val="24"/>
          <w:szCs w:val="21"/>
        </w:rPr>
        <w:t>q</w:t>
      </w:r>
      <w:r w:rsidRPr="00C37870">
        <w:rPr>
          <w:sz w:val="24"/>
          <w:szCs w:val="21"/>
        </w:rPr>
        <w:t xml:space="preserve">uality </w:t>
      </w:r>
      <w:r w:rsidRPr="00C37870">
        <w:rPr>
          <w:rFonts w:hint="eastAsia"/>
          <w:sz w:val="24"/>
          <w:szCs w:val="21"/>
        </w:rPr>
        <w:t>c</w:t>
      </w:r>
      <w:r w:rsidRPr="00C37870">
        <w:rPr>
          <w:sz w:val="24"/>
          <w:szCs w:val="21"/>
        </w:rPr>
        <w:t>ontrol [</w:t>
      </w:r>
      <w:r w:rsidRPr="00C37870">
        <w:rPr>
          <w:rFonts w:hint="eastAsia"/>
          <w:sz w:val="24"/>
          <w:szCs w:val="21"/>
        </w:rPr>
        <w:t>M]</w:t>
      </w:r>
      <w:r w:rsidRPr="00C37870">
        <w:rPr>
          <w:sz w:val="24"/>
          <w:szCs w:val="21"/>
        </w:rPr>
        <w:t>. 4th ed.</w:t>
      </w:r>
      <w:r w:rsidRPr="00C37870">
        <w:rPr>
          <w:rFonts w:hint="eastAsia"/>
          <w:sz w:val="24"/>
          <w:szCs w:val="21"/>
        </w:rPr>
        <w:t xml:space="preserve">, </w:t>
      </w:r>
      <w:r w:rsidRPr="00C37870">
        <w:rPr>
          <w:sz w:val="24"/>
          <w:szCs w:val="21"/>
        </w:rPr>
        <w:t>2001</w:t>
      </w:r>
      <w:r w:rsidRPr="00C37870">
        <w:rPr>
          <w:rFonts w:hint="eastAsia"/>
          <w:sz w:val="24"/>
          <w:szCs w:val="21"/>
        </w:rPr>
        <w:t xml:space="preserve">, </w:t>
      </w:r>
      <w:smartTag w:uri="urn:schemas-microsoft-com:office:smarttags" w:element="State">
        <w:smartTag w:uri="urn:schemas-microsoft-com:office:smarttags" w:element="place">
          <w:r w:rsidRPr="00C37870">
            <w:rPr>
              <w:sz w:val="24"/>
              <w:szCs w:val="21"/>
            </w:rPr>
            <w:t>New York</w:t>
          </w:r>
        </w:smartTag>
      </w:smartTag>
      <w:r w:rsidRPr="00C37870">
        <w:rPr>
          <w:sz w:val="24"/>
          <w:szCs w:val="21"/>
        </w:rPr>
        <w:t>: John</w:t>
      </w:r>
      <w:r w:rsidRPr="00C37870">
        <w:rPr>
          <w:rFonts w:hint="eastAsia"/>
          <w:sz w:val="24"/>
          <w:szCs w:val="21"/>
        </w:rPr>
        <w:t xml:space="preserve"> </w:t>
      </w:r>
      <w:r w:rsidRPr="00C37870">
        <w:rPr>
          <w:sz w:val="24"/>
          <w:szCs w:val="21"/>
        </w:rPr>
        <w:t>Wiley &amp; Sons.</w:t>
      </w:r>
    </w:p>
    <w:p w14:paraId="319E2C5B" w14:textId="77777777" w:rsidR="00C37870" w:rsidRPr="00C37870" w:rsidRDefault="00C37870" w:rsidP="00C37870">
      <w:pPr>
        <w:pStyle w:val="References"/>
        <w:rPr>
          <w:rFonts w:hint="eastAsia"/>
          <w:sz w:val="24"/>
          <w:szCs w:val="21"/>
        </w:rPr>
      </w:pPr>
      <w:r w:rsidRPr="00C37870">
        <w:rPr>
          <w:rFonts w:hint="eastAsia"/>
          <w:sz w:val="24"/>
          <w:szCs w:val="21"/>
        </w:rPr>
        <w:t>Z. G. Stoumbos, M. R. Reynolds, Robustness to non-</w:t>
      </w:r>
      <w:r w:rsidRPr="00C37870">
        <w:rPr>
          <w:sz w:val="24"/>
          <w:szCs w:val="21"/>
        </w:rPr>
        <w:t>normality</w:t>
      </w:r>
      <w:r w:rsidRPr="00C37870">
        <w:rPr>
          <w:rFonts w:hint="eastAsia"/>
          <w:sz w:val="24"/>
          <w:szCs w:val="21"/>
        </w:rPr>
        <w:t xml:space="preserve"> and autocorrelation of individuals control charts [J], Journal of statistical computing simulation, 2000, 66, 145-187.</w:t>
      </w:r>
    </w:p>
    <w:p w14:paraId="1C187800" w14:textId="77777777" w:rsidR="00C37870" w:rsidRPr="00C37870" w:rsidRDefault="00C37870" w:rsidP="00C37870">
      <w:pPr>
        <w:pStyle w:val="References"/>
        <w:rPr>
          <w:rFonts w:hint="eastAsia"/>
          <w:sz w:val="24"/>
          <w:szCs w:val="21"/>
        </w:rPr>
      </w:pPr>
      <w:r w:rsidRPr="00C37870">
        <w:rPr>
          <w:sz w:val="24"/>
          <w:szCs w:val="21"/>
        </w:rPr>
        <w:t>Stoumbos, Z. G., Sullivan, J. H. Robustness to non normality of the multivariate</w:t>
      </w:r>
      <w:r w:rsidRPr="00C37870">
        <w:rPr>
          <w:rFonts w:hint="eastAsia"/>
          <w:sz w:val="24"/>
          <w:szCs w:val="21"/>
        </w:rPr>
        <w:t xml:space="preserve"> </w:t>
      </w:r>
      <w:r w:rsidRPr="00C37870">
        <w:rPr>
          <w:sz w:val="24"/>
          <w:szCs w:val="21"/>
        </w:rPr>
        <w:t>EWMA control chart</w:t>
      </w:r>
      <w:r w:rsidRPr="00C37870">
        <w:rPr>
          <w:rFonts w:hint="eastAsia"/>
          <w:sz w:val="24"/>
          <w:szCs w:val="21"/>
        </w:rPr>
        <w:t xml:space="preserve"> [J],</w:t>
      </w:r>
      <w:r w:rsidRPr="00C37870">
        <w:rPr>
          <w:sz w:val="24"/>
          <w:szCs w:val="21"/>
        </w:rPr>
        <w:t xml:space="preserve"> J</w:t>
      </w:r>
      <w:r w:rsidRPr="00C37870">
        <w:rPr>
          <w:rFonts w:hint="eastAsia"/>
          <w:sz w:val="24"/>
          <w:szCs w:val="21"/>
        </w:rPr>
        <w:t>ournal</w:t>
      </w:r>
      <w:r w:rsidRPr="00C37870">
        <w:rPr>
          <w:sz w:val="24"/>
          <w:szCs w:val="21"/>
        </w:rPr>
        <w:t xml:space="preserve"> Qual</w:t>
      </w:r>
      <w:r w:rsidRPr="00C37870">
        <w:rPr>
          <w:rFonts w:hint="eastAsia"/>
          <w:sz w:val="24"/>
          <w:szCs w:val="21"/>
        </w:rPr>
        <w:t>ity</w:t>
      </w:r>
      <w:r w:rsidRPr="00C37870">
        <w:rPr>
          <w:sz w:val="24"/>
          <w:szCs w:val="21"/>
        </w:rPr>
        <w:t xml:space="preserve"> Technol</w:t>
      </w:r>
      <w:r w:rsidRPr="00C37870">
        <w:rPr>
          <w:rFonts w:hint="eastAsia"/>
          <w:sz w:val="24"/>
          <w:szCs w:val="21"/>
        </w:rPr>
        <w:t xml:space="preserve">ogy, </w:t>
      </w:r>
      <w:r w:rsidRPr="00C37870">
        <w:rPr>
          <w:sz w:val="24"/>
          <w:szCs w:val="21"/>
        </w:rPr>
        <w:t>2002)</w:t>
      </w:r>
      <w:r w:rsidRPr="00C37870">
        <w:rPr>
          <w:rFonts w:hint="eastAsia"/>
          <w:sz w:val="24"/>
          <w:szCs w:val="21"/>
        </w:rPr>
        <w:t xml:space="preserve">, </w:t>
      </w:r>
      <w:r w:rsidRPr="00C37870">
        <w:rPr>
          <w:sz w:val="24"/>
          <w:szCs w:val="21"/>
        </w:rPr>
        <w:t>34:260</w:t>
      </w:r>
      <w:r w:rsidRPr="00C37870">
        <w:rPr>
          <w:rFonts w:hint="eastAsia"/>
          <w:sz w:val="24"/>
          <w:szCs w:val="21"/>
        </w:rPr>
        <w:t>-</w:t>
      </w:r>
      <w:r w:rsidRPr="00C37870">
        <w:rPr>
          <w:sz w:val="24"/>
          <w:szCs w:val="21"/>
        </w:rPr>
        <w:t>276.</w:t>
      </w:r>
    </w:p>
    <w:p w14:paraId="71C062C7" w14:textId="77777777" w:rsidR="00C37870" w:rsidRPr="00C37870" w:rsidRDefault="00C37870" w:rsidP="00C37870">
      <w:pPr>
        <w:pStyle w:val="References"/>
        <w:rPr>
          <w:rFonts w:hint="eastAsia"/>
          <w:sz w:val="24"/>
          <w:szCs w:val="21"/>
        </w:rPr>
      </w:pPr>
      <w:r w:rsidRPr="00C37870">
        <w:rPr>
          <w:sz w:val="24"/>
          <w:szCs w:val="21"/>
        </w:rPr>
        <w:t>Testik, M. C., Runger, G. C., Borror, C. M. Robustness properties of multivariate</w:t>
      </w:r>
      <w:r w:rsidRPr="00C37870">
        <w:rPr>
          <w:rFonts w:hint="eastAsia"/>
          <w:sz w:val="24"/>
          <w:szCs w:val="21"/>
        </w:rPr>
        <w:t xml:space="preserve"> </w:t>
      </w:r>
      <w:r w:rsidRPr="00C37870">
        <w:rPr>
          <w:sz w:val="24"/>
          <w:szCs w:val="21"/>
        </w:rPr>
        <w:t>EWMA control charts</w:t>
      </w:r>
      <w:r w:rsidRPr="00C37870">
        <w:rPr>
          <w:rFonts w:hint="eastAsia"/>
          <w:sz w:val="24"/>
          <w:szCs w:val="21"/>
        </w:rPr>
        <w:t xml:space="preserve"> [J],</w:t>
      </w:r>
      <w:r w:rsidRPr="00C37870">
        <w:rPr>
          <w:sz w:val="24"/>
          <w:szCs w:val="21"/>
        </w:rPr>
        <w:t xml:space="preserve"> Qual. Reliabil. </w:t>
      </w:r>
      <w:smartTag w:uri="urn:schemas-microsoft-com:office:smarttags" w:element="country-region">
        <w:smartTag w:uri="urn:schemas-microsoft-com:office:smarttags" w:element="place">
          <w:r w:rsidRPr="00C37870">
            <w:rPr>
              <w:sz w:val="24"/>
              <w:szCs w:val="21"/>
            </w:rPr>
            <w:t>Eng.</w:t>
          </w:r>
        </w:smartTag>
      </w:smartTag>
      <w:r w:rsidRPr="00C37870">
        <w:rPr>
          <w:sz w:val="24"/>
          <w:szCs w:val="21"/>
        </w:rPr>
        <w:t xml:space="preserve"> Int</w:t>
      </w:r>
      <w:r w:rsidRPr="00C37870">
        <w:rPr>
          <w:rFonts w:hint="eastAsia"/>
          <w:sz w:val="24"/>
          <w:szCs w:val="21"/>
        </w:rPr>
        <w:t>,</w:t>
      </w:r>
      <w:r w:rsidRPr="00C37870">
        <w:rPr>
          <w:sz w:val="24"/>
          <w:szCs w:val="21"/>
        </w:rPr>
        <w:t xml:space="preserve"> 2003</w:t>
      </w:r>
      <w:r w:rsidRPr="00C37870">
        <w:rPr>
          <w:rFonts w:hint="eastAsia"/>
          <w:sz w:val="24"/>
          <w:szCs w:val="21"/>
        </w:rPr>
        <w:t xml:space="preserve">, </w:t>
      </w:r>
      <w:r w:rsidRPr="00C37870">
        <w:rPr>
          <w:sz w:val="24"/>
          <w:szCs w:val="21"/>
        </w:rPr>
        <w:t>19:31</w:t>
      </w:r>
      <w:r w:rsidRPr="00C37870">
        <w:rPr>
          <w:rFonts w:hint="eastAsia"/>
          <w:sz w:val="24"/>
          <w:szCs w:val="21"/>
        </w:rPr>
        <w:t>-</w:t>
      </w:r>
      <w:r w:rsidRPr="00C37870">
        <w:rPr>
          <w:sz w:val="24"/>
          <w:szCs w:val="21"/>
        </w:rPr>
        <w:t>38.</w:t>
      </w:r>
    </w:p>
    <w:p w14:paraId="7C9A50C5" w14:textId="77777777" w:rsidR="00C37870" w:rsidRPr="00C37870" w:rsidRDefault="00C37870" w:rsidP="00C37870">
      <w:pPr>
        <w:pStyle w:val="References"/>
        <w:rPr>
          <w:rFonts w:hint="eastAsia"/>
          <w:sz w:val="24"/>
          <w:szCs w:val="21"/>
        </w:rPr>
      </w:pPr>
      <w:r w:rsidRPr="00C37870">
        <w:rPr>
          <w:rFonts w:hint="eastAsia"/>
          <w:sz w:val="24"/>
          <w:szCs w:val="21"/>
        </w:rPr>
        <w:t>Kit C.B.R., Ronald, J.M. Shewhart-Type Control Charts in Nonstandard Situations</w:t>
      </w:r>
      <w:r w:rsidRPr="00C37870">
        <w:rPr>
          <w:rFonts w:hint="eastAsia"/>
          <w:sz w:val="24"/>
          <w:szCs w:val="21"/>
          <w:lang w:eastAsia="zh-CN"/>
        </w:rPr>
        <w:t xml:space="preserve"> [J],</w:t>
      </w:r>
      <w:r w:rsidRPr="00C37870">
        <w:rPr>
          <w:rFonts w:hint="eastAsia"/>
          <w:sz w:val="24"/>
          <w:szCs w:val="21"/>
        </w:rPr>
        <w:t xml:space="preserve"> Technometrics, 1995, 37(1): 15-24</w:t>
      </w:r>
    </w:p>
    <w:p w14:paraId="077A2592" w14:textId="306BCA2F" w:rsidR="00004ADD" w:rsidRPr="00266C53" w:rsidRDefault="00004ADD" w:rsidP="00004ADD">
      <w:pPr>
        <w:pStyle w:val="TTPReference"/>
        <w:rPr>
          <w:lang w:val="en-US"/>
        </w:rPr>
      </w:pPr>
    </w:p>
    <w:sectPr w:rsidR="00004ADD" w:rsidRPr="00266C53" w:rsidSect="002510F4">
      <w:headerReference w:type="even" r:id="rId29"/>
      <w:headerReference w:type="default" r:id="rId30"/>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259B" w14:textId="77777777" w:rsidR="00CF16AD" w:rsidRDefault="00CF16AD">
      <w:r>
        <w:separator/>
      </w:r>
    </w:p>
  </w:endnote>
  <w:endnote w:type="continuationSeparator" w:id="0">
    <w:p w14:paraId="077A259C" w14:textId="77777777" w:rsidR="00CF16AD" w:rsidRDefault="00CF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한컴바탕">
    <w:altName w:val="Arial Unicode MS"/>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산돌향기 L">
    <w:altName w:val="Arial Unicode MS"/>
    <w:panose1 w:val="00000000000000000000"/>
    <w:charset w:val="81"/>
    <w:family w:val="auto"/>
    <w:notTrueType/>
    <w:pitch w:val="variable"/>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A2599" w14:textId="77777777" w:rsidR="00CF16AD" w:rsidRDefault="00CF16AD">
      <w:r>
        <w:separator/>
      </w:r>
    </w:p>
  </w:footnote>
  <w:footnote w:type="continuationSeparator" w:id="0">
    <w:p w14:paraId="077A259A" w14:textId="77777777" w:rsidR="00CF16AD" w:rsidRDefault="00CF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A259D" w14:textId="77777777" w:rsidR="004B3A8F" w:rsidRDefault="004B3A8F">
    <w:pPr>
      <w:pStyle w:val="a3"/>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A259E" w14:textId="77777777" w:rsidR="004B3A8F" w:rsidRDefault="004B3A8F">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1CA"/>
    <w:multiLevelType w:val="hybridMultilevel"/>
    <w:tmpl w:val="4A76DE78"/>
    <w:lvl w:ilvl="0" w:tplc="E786BB20">
      <w:numFmt w:val="bullet"/>
      <w:lvlText w:val="-"/>
      <w:lvlJc w:val="left"/>
      <w:pPr>
        <w:ind w:left="643" w:hanging="360"/>
      </w:pPr>
      <w:rPr>
        <w:rFonts w:ascii="Times New Roman" w:eastAsia="SimSun" w:hAnsi="Times New Roman" w:cs="Times New Roman" w:hint="default"/>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1" w15:restartNumberingAfterBreak="0">
    <w:nsid w:val="30F72EC8"/>
    <w:multiLevelType w:val="hybridMultilevel"/>
    <w:tmpl w:val="C0BC7CA0"/>
    <w:lvl w:ilvl="0" w:tplc="76DE7D2E">
      <w:numFmt w:val="bullet"/>
      <w:lvlText w:val="-"/>
      <w:lvlJc w:val="left"/>
      <w:pPr>
        <w:ind w:left="643" w:hanging="360"/>
      </w:pPr>
      <w:rPr>
        <w:rFonts w:ascii="Times New Roman" w:eastAsia="SimSun" w:hAnsi="Times New Roman" w:cs="Times New Roman" w:hint="default"/>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 w15:restartNumberingAfterBreak="0">
    <w:nsid w:val="3A877D64"/>
    <w:multiLevelType w:val="singleLevel"/>
    <w:tmpl w:val="41F6E61C"/>
    <w:lvl w:ilvl="0">
      <w:start w:val="1"/>
      <w:numFmt w:val="decimal"/>
      <w:pStyle w:val="References"/>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4A184081"/>
    <w:multiLevelType w:val="hybridMultilevel"/>
    <w:tmpl w:val="468AA99A"/>
    <w:lvl w:ilvl="0" w:tplc="2B2201BE">
      <w:numFmt w:val="bullet"/>
      <w:lvlText w:val="-"/>
      <w:lvlJc w:val="left"/>
      <w:pPr>
        <w:ind w:left="643" w:hanging="360"/>
      </w:pPr>
      <w:rPr>
        <w:rFonts w:ascii="Times New Roman" w:eastAsia="SimSun" w:hAnsi="Times New Roman" w:cs="Times New Roman" w:hint="default"/>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17"/>
    <w:rsid w:val="00004ADD"/>
    <w:rsid w:val="00031F5E"/>
    <w:rsid w:val="000448AF"/>
    <w:rsid w:val="00053BF2"/>
    <w:rsid w:val="000A43AB"/>
    <w:rsid w:val="000D6C46"/>
    <w:rsid w:val="001553C0"/>
    <w:rsid w:val="00165C7D"/>
    <w:rsid w:val="00171A5B"/>
    <w:rsid w:val="00191D51"/>
    <w:rsid w:val="00192CBA"/>
    <w:rsid w:val="001967AB"/>
    <w:rsid w:val="001C5B52"/>
    <w:rsid w:val="002510F4"/>
    <w:rsid w:val="00251A99"/>
    <w:rsid w:val="00266C53"/>
    <w:rsid w:val="002745BC"/>
    <w:rsid w:val="00295485"/>
    <w:rsid w:val="002C1997"/>
    <w:rsid w:val="002C6A3F"/>
    <w:rsid w:val="002D389A"/>
    <w:rsid w:val="002E6464"/>
    <w:rsid w:val="003227D7"/>
    <w:rsid w:val="0035674D"/>
    <w:rsid w:val="003F377B"/>
    <w:rsid w:val="00456D27"/>
    <w:rsid w:val="00481C54"/>
    <w:rsid w:val="0049544C"/>
    <w:rsid w:val="004B0EDC"/>
    <w:rsid w:val="004B3A8F"/>
    <w:rsid w:val="004C48B6"/>
    <w:rsid w:val="004D18B0"/>
    <w:rsid w:val="004F7AE3"/>
    <w:rsid w:val="00532052"/>
    <w:rsid w:val="00552712"/>
    <w:rsid w:val="00580DFD"/>
    <w:rsid w:val="005C1A05"/>
    <w:rsid w:val="005E2825"/>
    <w:rsid w:val="00660A63"/>
    <w:rsid w:val="00670887"/>
    <w:rsid w:val="006B347C"/>
    <w:rsid w:val="006C2709"/>
    <w:rsid w:val="0075225B"/>
    <w:rsid w:val="00774597"/>
    <w:rsid w:val="007A072D"/>
    <w:rsid w:val="007A1ECC"/>
    <w:rsid w:val="007D52BC"/>
    <w:rsid w:val="00837307"/>
    <w:rsid w:val="00862356"/>
    <w:rsid w:val="00877D3D"/>
    <w:rsid w:val="008D5F72"/>
    <w:rsid w:val="0093736C"/>
    <w:rsid w:val="00975783"/>
    <w:rsid w:val="009E7DF9"/>
    <w:rsid w:val="00A05306"/>
    <w:rsid w:val="00A62134"/>
    <w:rsid w:val="00A76C04"/>
    <w:rsid w:val="00A84342"/>
    <w:rsid w:val="00AA2090"/>
    <w:rsid w:val="00AD3A4F"/>
    <w:rsid w:val="00B11627"/>
    <w:rsid w:val="00B56E8D"/>
    <w:rsid w:val="00B9529B"/>
    <w:rsid w:val="00BC3ABB"/>
    <w:rsid w:val="00BD159A"/>
    <w:rsid w:val="00BD54EA"/>
    <w:rsid w:val="00C37870"/>
    <w:rsid w:val="00C40529"/>
    <w:rsid w:val="00C42366"/>
    <w:rsid w:val="00C42F96"/>
    <w:rsid w:val="00C615CD"/>
    <w:rsid w:val="00C83653"/>
    <w:rsid w:val="00CC0CCE"/>
    <w:rsid w:val="00CF1396"/>
    <w:rsid w:val="00CF16AD"/>
    <w:rsid w:val="00D21AFA"/>
    <w:rsid w:val="00D22891"/>
    <w:rsid w:val="00D430B7"/>
    <w:rsid w:val="00D64FD0"/>
    <w:rsid w:val="00D80BBE"/>
    <w:rsid w:val="00D91DD9"/>
    <w:rsid w:val="00DB1460"/>
    <w:rsid w:val="00DD4E1D"/>
    <w:rsid w:val="00E56305"/>
    <w:rsid w:val="00E56985"/>
    <w:rsid w:val="00E92BEF"/>
    <w:rsid w:val="00EB154E"/>
    <w:rsid w:val="00F30817"/>
    <w:rsid w:val="00F86EB9"/>
    <w:rsid w:val="00F903FB"/>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77A24DA"/>
  <w15:chartTrackingRefBased/>
  <w15:docId w15:val="{B1545E93-604A-442E-955A-28312E40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D27"/>
    <w:pPr>
      <w:autoSpaceDE w:val="0"/>
      <w:autoSpaceDN w:val="0"/>
    </w:pPr>
    <w:rPr>
      <w:lang w:val="de-DE" w:eastAsia="en-US"/>
    </w:rPr>
  </w:style>
  <w:style w:type="paragraph" w:styleId="1">
    <w:name w:val="heading 1"/>
    <w:basedOn w:val="a"/>
    <w:next w:val="a"/>
    <w:link w:val="1Char"/>
    <w:qFormat/>
    <w:rsid w:val="00456D27"/>
    <w:pPr>
      <w:keepNext/>
      <w:autoSpaceDE/>
      <w:autoSpaceDN/>
      <w:outlineLvl w:val="0"/>
    </w:pPr>
    <w:rPr>
      <w:b/>
      <w:bCs/>
      <w:sz w:val="32"/>
      <w:szCs w:val="3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locked/>
    <w:rsid w:val="00456D27"/>
    <w:rPr>
      <w:rFonts w:ascii="Cambria" w:hAnsi="Cambria" w:cs="Times New Roman"/>
      <w:b/>
      <w:bCs/>
      <w:kern w:val="32"/>
      <w:sz w:val="32"/>
      <w:szCs w:val="32"/>
      <w:lang w:val="de-DE" w:eastAsia="en-US"/>
    </w:rPr>
  </w:style>
  <w:style w:type="paragraph" w:customStyle="1" w:styleId="TTPTitle">
    <w:name w:val="TTP Title"/>
    <w:basedOn w:val="a"/>
    <w:next w:val="TTPAuthors"/>
    <w:rsid w:val="00456D27"/>
    <w:pPr>
      <w:spacing w:after="120"/>
      <w:jc w:val="center"/>
    </w:pPr>
    <w:rPr>
      <w:rFonts w:ascii="Arial" w:hAnsi="Arial" w:cs="Arial"/>
      <w:b/>
      <w:bCs/>
      <w:sz w:val="30"/>
      <w:szCs w:val="30"/>
      <w:lang w:val="en-US"/>
    </w:rPr>
  </w:style>
  <w:style w:type="paragraph" w:customStyle="1" w:styleId="TTPAuthors">
    <w:name w:val="TTP Author(s)"/>
    <w:basedOn w:val="a"/>
    <w:next w:val="TTPAddress"/>
    <w:rsid w:val="00456D27"/>
    <w:pPr>
      <w:spacing w:before="120"/>
      <w:jc w:val="center"/>
    </w:pPr>
    <w:rPr>
      <w:rFonts w:ascii="Arial" w:hAnsi="Arial" w:cs="Arial"/>
      <w:sz w:val="28"/>
      <w:szCs w:val="28"/>
      <w:lang w:val="en-US"/>
    </w:rPr>
  </w:style>
  <w:style w:type="paragraph" w:customStyle="1" w:styleId="TTPAddress">
    <w:name w:val="TTP Address"/>
    <w:basedOn w:val="a"/>
    <w:rsid w:val="00456D27"/>
    <w:pPr>
      <w:spacing w:before="120"/>
      <w:jc w:val="center"/>
    </w:pPr>
    <w:rPr>
      <w:rFonts w:ascii="Arial" w:hAnsi="Arial" w:cs="Arial"/>
      <w:sz w:val="22"/>
      <w:szCs w:val="22"/>
      <w:lang w:val="en-US"/>
    </w:rPr>
  </w:style>
  <w:style w:type="paragraph" w:customStyle="1" w:styleId="TTPSectionHeading">
    <w:name w:val="TTP Section Heading"/>
    <w:basedOn w:val="a"/>
    <w:next w:val="TTPParagraph1st"/>
    <w:rsid w:val="00456D27"/>
    <w:pPr>
      <w:spacing w:before="360" w:after="120"/>
      <w:jc w:val="both"/>
    </w:pPr>
    <w:rPr>
      <w:b/>
      <w:bCs/>
      <w:sz w:val="24"/>
      <w:szCs w:val="24"/>
      <w:lang w:val="en-US"/>
    </w:rPr>
  </w:style>
  <w:style w:type="paragraph" w:customStyle="1" w:styleId="TTPParagraph1st">
    <w:name w:val="TTP Paragraph (1st)"/>
    <w:basedOn w:val="a"/>
    <w:next w:val="TTPParagraphothers"/>
    <w:rsid w:val="00456D27"/>
    <w:pPr>
      <w:jc w:val="both"/>
    </w:pPr>
    <w:rPr>
      <w:sz w:val="24"/>
      <w:szCs w:val="24"/>
      <w:lang w:val="en-US"/>
    </w:rPr>
  </w:style>
  <w:style w:type="paragraph" w:customStyle="1" w:styleId="TTPParagraphothers">
    <w:name w:val="TTP Paragraph (others)"/>
    <w:basedOn w:val="TTPParagraph1st"/>
    <w:rsid w:val="00456D27"/>
    <w:pPr>
      <w:ind w:firstLine="283"/>
    </w:pPr>
  </w:style>
  <w:style w:type="paragraph" w:customStyle="1" w:styleId="TTPReference">
    <w:name w:val="TTP Reference"/>
    <w:basedOn w:val="a"/>
    <w:rsid w:val="00456D27"/>
    <w:pPr>
      <w:tabs>
        <w:tab w:val="left" w:pos="426"/>
      </w:tabs>
      <w:spacing w:after="120" w:line="288" w:lineRule="atLeast"/>
      <w:jc w:val="both"/>
    </w:pPr>
    <w:rPr>
      <w:sz w:val="24"/>
      <w:szCs w:val="24"/>
    </w:rPr>
  </w:style>
  <w:style w:type="paragraph" w:customStyle="1" w:styleId="TTPKeywords">
    <w:name w:val="TTP Keywords"/>
    <w:basedOn w:val="a"/>
    <w:next w:val="TTPAbstract"/>
    <w:rsid w:val="00456D27"/>
    <w:pPr>
      <w:spacing w:before="360"/>
      <w:jc w:val="both"/>
    </w:pPr>
    <w:rPr>
      <w:rFonts w:ascii="Arial" w:hAnsi="Arial" w:cs="Arial"/>
      <w:sz w:val="22"/>
      <w:szCs w:val="22"/>
      <w:lang w:val="en-US"/>
    </w:rPr>
  </w:style>
  <w:style w:type="paragraph" w:customStyle="1" w:styleId="TTPAbstract">
    <w:name w:val="TTP Abstract"/>
    <w:basedOn w:val="a"/>
    <w:next w:val="TTPSectionHeading"/>
    <w:rsid w:val="00456D27"/>
    <w:pPr>
      <w:spacing w:before="360"/>
      <w:jc w:val="both"/>
    </w:pPr>
    <w:rPr>
      <w:sz w:val="24"/>
      <w:szCs w:val="24"/>
      <w:lang w:val="en-US"/>
    </w:rPr>
  </w:style>
  <w:style w:type="paragraph" w:customStyle="1" w:styleId="TTPEquation">
    <w:name w:val="TTP Equation"/>
    <w:basedOn w:val="a"/>
    <w:next w:val="TTPParagraph1st"/>
    <w:rsid w:val="00456D27"/>
    <w:pPr>
      <w:tabs>
        <w:tab w:val="right" w:pos="9923"/>
      </w:tabs>
      <w:spacing w:before="240" w:after="240"/>
      <w:ind w:left="284" w:right="-11"/>
      <w:jc w:val="both"/>
    </w:pPr>
    <w:rPr>
      <w:sz w:val="24"/>
      <w:szCs w:val="24"/>
    </w:rPr>
  </w:style>
  <w:style w:type="paragraph" w:styleId="a3">
    <w:name w:val="header"/>
    <w:basedOn w:val="a"/>
    <w:link w:val="Char"/>
    <w:rsid w:val="00456D27"/>
    <w:pPr>
      <w:tabs>
        <w:tab w:val="center" w:pos="4536"/>
        <w:tab w:val="right" w:pos="9072"/>
      </w:tabs>
    </w:pPr>
  </w:style>
  <w:style w:type="character" w:customStyle="1" w:styleId="Char">
    <w:name w:val="머리글 Char"/>
    <w:basedOn w:val="a0"/>
    <w:link w:val="a3"/>
    <w:semiHidden/>
    <w:locked/>
    <w:rsid w:val="00456D27"/>
    <w:rPr>
      <w:rFonts w:cs="Times New Roman"/>
      <w:sz w:val="20"/>
      <w:szCs w:val="20"/>
      <w:lang w:val="de-DE" w:eastAsia="en-US"/>
    </w:rPr>
  </w:style>
  <w:style w:type="paragraph" w:styleId="a4">
    <w:name w:val="footer"/>
    <w:basedOn w:val="a"/>
    <w:link w:val="Char0"/>
    <w:rsid w:val="00456D27"/>
    <w:pPr>
      <w:tabs>
        <w:tab w:val="center" w:pos="4536"/>
        <w:tab w:val="right" w:pos="9072"/>
      </w:tabs>
    </w:pPr>
  </w:style>
  <w:style w:type="character" w:customStyle="1" w:styleId="Char0">
    <w:name w:val="바닥글 Char"/>
    <w:basedOn w:val="a0"/>
    <w:link w:val="a4"/>
    <w:semiHidden/>
    <w:locked/>
    <w:rsid w:val="00456D27"/>
    <w:rPr>
      <w:rFonts w:cs="Times New Roman"/>
      <w:sz w:val="20"/>
      <w:szCs w:val="20"/>
      <w:lang w:val="de-DE" w:eastAsia="en-US"/>
    </w:rPr>
  </w:style>
  <w:style w:type="paragraph" w:customStyle="1" w:styleId="TTPFootnote">
    <w:name w:val="TTP Footnote"/>
    <w:basedOn w:val="TTPParagraphothers"/>
    <w:rsid w:val="00456D27"/>
    <w:pPr>
      <w:pBdr>
        <w:top w:val="single" w:sz="4" w:space="5" w:color="auto"/>
      </w:pBdr>
      <w:spacing w:before="600"/>
      <w:ind w:firstLine="284"/>
    </w:pPr>
    <w:rPr>
      <w:sz w:val="22"/>
      <w:szCs w:val="22"/>
    </w:rPr>
  </w:style>
  <w:style w:type="character" w:styleId="a5">
    <w:name w:val="Hyperlink"/>
    <w:basedOn w:val="a0"/>
    <w:rsid w:val="00456D27"/>
    <w:rPr>
      <w:rFonts w:cs="Times New Roman"/>
      <w:color w:val="0000FF"/>
      <w:u w:val="single"/>
    </w:rPr>
  </w:style>
  <w:style w:type="character" w:styleId="a6">
    <w:name w:val="FollowedHyperlink"/>
    <w:basedOn w:val="a0"/>
    <w:rsid w:val="00456D27"/>
    <w:rPr>
      <w:rFonts w:cs="Times New Roman"/>
      <w:color w:val="800080"/>
      <w:u w:val="single"/>
    </w:rPr>
  </w:style>
  <w:style w:type="paragraph" w:styleId="a7">
    <w:name w:val="Balloon Text"/>
    <w:basedOn w:val="a"/>
    <w:link w:val="Char1"/>
    <w:semiHidden/>
    <w:rsid w:val="00456D27"/>
    <w:rPr>
      <w:rFonts w:ascii="Tahoma" w:hAnsi="Tahoma" w:cs="Tahoma"/>
      <w:sz w:val="16"/>
      <w:szCs w:val="16"/>
    </w:rPr>
  </w:style>
  <w:style w:type="character" w:customStyle="1" w:styleId="Char1">
    <w:name w:val="풍선 도움말 텍스트 Char"/>
    <w:basedOn w:val="a0"/>
    <w:link w:val="a7"/>
    <w:semiHidden/>
    <w:locked/>
    <w:rsid w:val="00456D27"/>
    <w:rPr>
      <w:rFonts w:ascii="Tahoma" w:hAnsi="Tahoma" w:cs="Tahoma"/>
      <w:sz w:val="16"/>
      <w:szCs w:val="16"/>
      <w:lang w:val="de-DE" w:eastAsia="en-US"/>
    </w:rPr>
  </w:style>
  <w:style w:type="paragraph" w:styleId="a8">
    <w:name w:val="footnote text"/>
    <w:basedOn w:val="a"/>
    <w:link w:val="Char2"/>
    <w:semiHidden/>
    <w:rsid w:val="00456D27"/>
  </w:style>
  <w:style w:type="character" w:customStyle="1" w:styleId="Char2">
    <w:name w:val="각주 텍스트 Char"/>
    <w:basedOn w:val="a0"/>
    <w:link w:val="a8"/>
    <w:semiHidden/>
    <w:locked/>
    <w:rsid w:val="00456D27"/>
    <w:rPr>
      <w:rFonts w:cs="Times New Roman"/>
      <w:sz w:val="20"/>
      <w:szCs w:val="20"/>
      <w:lang w:val="de-DE" w:eastAsia="en-US"/>
    </w:rPr>
  </w:style>
  <w:style w:type="character" w:styleId="a9">
    <w:name w:val="footnote reference"/>
    <w:basedOn w:val="a0"/>
    <w:semiHidden/>
    <w:rsid w:val="00456D27"/>
    <w:rPr>
      <w:rFonts w:cs="Times New Roman"/>
      <w:vertAlign w:val="superscript"/>
    </w:rPr>
  </w:style>
  <w:style w:type="paragraph" w:styleId="HTML">
    <w:name w:val="HTML Preformatted"/>
    <w:basedOn w:val="a"/>
    <w:link w:val="HTMLChar"/>
    <w:semiHidden/>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Char">
    <w:name w:val="미리 서식이 지정된 HTML Char"/>
    <w:basedOn w:val="a0"/>
    <w:link w:val="HTML"/>
    <w:semiHidden/>
    <w:locked/>
    <w:rsid w:val="004F7AE3"/>
    <w:rPr>
      <w:rFonts w:ascii="Courier New" w:hAnsi="Courier New" w:cs="Courier New"/>
    </w:rPr>
  </w:style>
  <w:style w:type="character" w:styleId="aa">
    <w:name w:val="annotation reference"/>
    <w:uiPriority w:val="99"/>
    <w:unhideWhenUsed/>
    <w:rsid w:val="007D52BC"/>
    <w:rPr>
      <w:rFonts w:cs="Times New Roman"/>
      <w:sz w:val="16"/>
      <w:szCs w:val="16"/>
    </w:rPr>
  </w:style>
  <w:style w:type="paragraph" w:styleId="ab">
    <w:name w:val="annotation text"/>
    <w:basedOn w:val="a"/>
    <w:link w:val="Char3"/>
    <w:uiPriority w:val="99"/>
    <w:unhideWhenUsed/>
    <w:rsid w:val="007D52BC"/>
    <w:pPr>
      <w:autoSpaceDE/>
      <w:autoSpaceDN/>
      <w:spacing w:after="160" w:line="259" w:lineRule="auto"/>
    </w:pPr>
    <w:rPr>
      <w:rFonts w:ascii="Calibri" w:eastAsia="MS Mincho" w:hAnsi="Calibri" w:cs="Tunga"/>
      <w:lang w:val="en-IN" w:eastAsia="ko-KR" w:bidi="kn-IN"/>
    </w:rPr>
  </w:style>
  <w:style w:type="character" w:customStyle="1" w:styleId="Char3">
    <w:name w:val="메모 텍스트 Char"/>
    <w:basedOn w:val="a0"/>
    <w:link w:val="ab"/>
    <w:uiPriority w:val="99"/>
    <w:rsid w:val="007D52BC"/>
    <w:rPr>
      <w:rFonts w:ascii="Calibri" w:eastAsia="MS Mincho" w:hAnsi="Calibri" w:cs="Tunga"/>
      <w:lang w:val="en-IN" w:bidi="kn-IN"/>
    </w:rPr>
  </w:style>
  <w:style w:type="paragraph" w:customStyle="1" w:styleId="MsoNoSpacing0">
    <w:name w:val="MsoNoSpacing"/>
    <w:basedOn w:val="a"/>
    <w:rsid w:val="007D52BC"/>
    <w:pPr>
      <w:widowControl w:val="0"/>
      <w:shd w:val="clear" w:color="auto" w:fill="FFFFFF"/>
      <w:wordWrap w:val="0"/>
      <w:snapToGrid w:val="0"/>
      <w:spacing w:line="384" w:lineRule="auto"/>
      <w:jc w:val="both"/>
      <w:textAlignment w:val="baseline"/>
    </w:pPr>
    <w:rPr>
      <w:rFonts w:ascii="한컴바탕" w:eastAsia="굴림" w:hAnsi="굴림" w:cs="굴림"/>
      <w:color w:val="000000"/>
      <w:lang w:val="en-US" w:eastAsia="ko-KR"/>
    </w:rPr>
  </w:style>
  <w:style w:type="paragraph" w:customStyle="1" w:styleId="ac">
    <w:name w:val="바탕글"/>
    <w:rsid w:val="007D52BC"/>
    <w:pPr>
      <w:widowControl w:val="0"/>
      <w:wordWrap w:val="0"/>
      <w:autoSpaceDE w:val="0"/>
      <w:autoSpaceDN w:val="0"/>
      <w:adjustRightInd w:val="0"/>
      <w:spacing w:line="340" w:lineRule="auto"/>
      <w:jc w:val="both"/>
      <w:textAlignment w:val="baseline"/>
    </w:pPr>
    <w:rPr>
      <w:rFonts w:eastAsia="MS Mincho"/>
      <w:color w:val="000000"/>
      <w:spacing w:val="-7"/>
      <w:w w:val="95"/>
      <w:lang w:val="en-IN" w:bidi="kn-IN"/>
    </w:rPr>
  </w:style>
  <w:style w:type="character" w:customStyle="1" w:styleId="st">
    <w:name w:val="st"/>
    <w:rsid w:val="007D52BC"/>
  </w:style>
  <w:style w:type="character" w:customStyle="1" w:styleId="shorttext">
    <w:name w:val="short_text"/>
    <w:rsid w:val="007D52BC"/>
  </w:style>
  <w:style w:type="character" w:customStyle="1" w:styleId="hps">
    <w:name w:val="hps"/>
    <w:rsid w:val="007D52BC"/>
  </w:style>
  <w:style w:type="paragraph" w:customStyle="1" w:styleId="MS">
    <w:name w:val="MS바탕글"/>
    <w:rsid w:val="007D52BC"/>
    <w:pPr>
      <w:widowControl w:val="0"/>
      <w:wordWrap w:val="0"/>
      <w:autoSpaceDE w:val="0"/>
      <w:autoSpaceDN w:val="0"/>
      <w:adjustRightInd w:val="0"/>
      <w:snapToGrid w:val="0"/>
      <w:spacing w:after="100" w:line="276" w:lineRule="auto"/>
      <w:jc w:val="both"/>
      <w:textAlignment w:val="baseline"/>
    </w:pPr>
    <w:rPr>
      <w:rFonts w:ascii="ÇÑÄÄ¹ÙÅÁ" w:eastAsia="MS Mincho" w:hAnsi="ÇÑÄÄ¹ÙÅÁ" w:cs="ÇÑÄÄ¹ÙÅÁ"/>
      <w:color w:val="000000"/>
      <w:lang w:val="en-IN" w:bidi="kn-IN"/>
    </w:rPr>
  </w:style>
  <w:style w:type="paragraph" w:customStyle="1" w:styleId="xl65">
    <w:name w:val="xl65"/>
    <w:basedOn w:val="a"/>
    <w:rsid w:val="00165C7D"/>
    <w:pPr>
      <w:widowControl w:val="0"/>
      <w:shd w:val="clear" w:color="auto" w:fill="FFFFFF"/>
      <w:jc w:val="center"/>
      <w:textAlignment w:val="center"/>
    </w:pPr>
    <w:rPr>
      <w:rFonts w:ascii="맑은 고딕" w:eastAsia="굴림" w:hAnsi="굴림" w:cs="굴림"/>
      <w:color w:val="000000"/>
      <w:sz w:val="22"/>
      <w:szCs w:val="22"/>
      <w:lang w:val="en-US" w:eastAsia="ko-KR"/>
    </w:rPr>
  </w:style>
  <w:style w:type="paragraph" w:styleId="ad">
    <w:name w:val="caption"/>
    <w:basedOn w:val="a"/>
    <w:next w:val="a"/>
    <w:unhideWhenUsed/>
    <w:qFormat/>
    <w:locked/>
    <w:rsid w:val="00165C7D"/>
    <w:rPr>
      <w:b/>
      <w:bCs/>
    </w:rPr>
  </w:style>
  <w:style w:type="paragraph" w:customStyle="1" w:styleId="References">
    <w:name w:val="References"/>
    <w:basedOn w:val="a"/>
    <w:rsid w:val="00C37870"/>
    <w:pPr>
      <w:numPr>
        <w:numId w:val="5"/>
      </w:numPr>
      <w:jc w:val="both"/>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58741525">
      <w:bodyDiv w:val="1"/>
      <w:marLeft w:val="0"/>
      <w:marRight w:val="0"/>
      <w:marTop w:val="0"/>
      <w:marBottom w:val="0"/>
      <w:divBdr>
        <w:top w:val="none" w:sz="0" w:space="0" w:color="auto"/>
        <w:left w:val="none" w:sz="0" w:space="0" w:color="auto"/>
        <w:bottom w:val="none" w:sz="0" w:space="0" w:color="auto"/>
        <w:right w:val="none" w:sz="0" w:space="0" w:color="auto"/>
      </w:divBdr>
    </w:div>
    <w:div w:id="1335838549">
      <w:bodyDiv w:val="1"/>
      <w:marLeft w:val="0"/>
      <w:marRight w:val="0"/>
      <w:marTop w:val="0"/>
      <w:marBottom w:val="0"/>
      <w:divBdr>
        <w:top w:val="none" w:sz="0" w:space="0" w:color="auto"/>
        <w:left w:val="none" w:sz="0" w:space="0" w:color="auto"/>
        <w:bottom w:val="none" w:sz="0" w:space="0" w:color="auto"/>
        <w:right w:val="none" w:sz="0" w:space="0" w:color="auto"/>
      </w:divBdr>
    </w:div>
    <w:div w:id="1915046871">
      <w:bodyDiv w:val="1"/>
      <w:marLeft w:val="0"/>
      <w:marRight w:val="0"/>
      <w:marTop w:val="0"/>
      <w:marBottom w:val="0"/>
      <w:divBdr>
        <w:top w:val="none" w:sz="0" w:space="0" w:color="auto"/>
        <w:left w:val="none" w:sz="0" w:space="0" w:color="auto"/>
        <w:bottom w:val="none" w:sz="0" w:space="0" w:color="auto"/>
        <w:right w:val="none" w:sz="0" w:space="0" w:color="auto"/>
      </w:divBdr>
    </w:div>
    <w:div w:id="1936555255">
      <w:bodyDiv w:val="1"/>
      <w:marLeft w:val="0"/>
      <w:marRight w:val="0"/>
      <w:marTop w:val="0"/>
      <w:marBottom w:val="0"/>
      <w:divBdr>
        <w:top w:val="none" w:sz="0" w:space="0" w:color="auto"/>
        <w:left w:val="none" w:sz="0" w:space="0" w:color="auto"/>
        <w:bottom w:val="none" w:sz="0" w:space="0" w:color="auto"/>
        <w:right w:val="none" w:sz="0" w:space="0" w:color="auto"/>
      </w:divBdr>
    </w:div>
    <w:div w:id="19402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7602</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Your Paper's Title Starts Here:</vt:lpstr>
    </vt:vector>
  </TitlesOfParts>
  <Company>Trans Tech Publications Ltd</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dc:description/>
  <cp:lastModifiedBy>배성민</cp:lastModifiedBy>
  <cp:revision>2</cp:revision>
  <cp:lastPrinted>2010-04-09T12:23:00Z</cp:lastPrinted>
  <dcterms:created xsi:type="dcterms:W3CDTF">2015-05-17T07:15:00Z</dcterms:created>
  <dcterms:modified xsi:type="dcterms:W3CDTF">2015-05-17T07:15:00Z</dcterms:modified>
</cp:coreProperties>
</file>